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A" w:rsidRPr="00D218FE" w:rsidRDefault="00370BDA" w:rsidP="00243233">
      <w:pPr>
        <w:jc w:val="center"/>
        <w:rPr>
          <w:b/>
          <w:sz w:val="28"/>
          <w:szCs w:val="28"/>
          <w:u w:val="single"/>
        </w:rPr>
      </w:pPr>
      <w:r w:rsidRPr="00D218FE">
        <w:rPr>
          <w:b/>
          <w:sz w:val="28"/>
          <w:szCs w:val="28"/>
          <w:u w:val="single"/>
        </w:rPr>
        <w:t>Informe final de iniciativas culturales escolares 2013</w:t>
      </w:r>
    </w:p>
    <w:p w:rsidR="00AC4835" w:rsidRDefault="00AC4835" w:rsidP="00243233">
      <w:pPr>
        <w:jc w:val="both"/>
      </w:pPr>
    </w:p>
    <w:p w:rsidR="0072021E" w:rsidRDefault="00370BDA" w:rsidP="00243233">
      <w:pPr>
        <w:jc w:val="both"/>
      </w:pPr>
      <w:r>
        <w:t>De un total</w:t>
      </w:r>
      <w:r w:rsidR="00AC4835">
        <w:t xml:space="preserve"> de 290</w:t>
      </w:r>
      <w:r w:rsidR="00E66F96">
        <w:t xml:space="preserve"> proyectos postulados: 114</w:t>
      </w:r>
      <w:r>
        <w:t xml:space="preserve"> se decl</w:t>
      </w:r>
      <w:r w:rsidR="00AC4835">
        <w:t xml:space="preserve">araron </w:t>
      </w:r>
      <w:r w:rsidR="00E66F96">
        <w:t>inadmisibles,</w:t>
      </w:r>
      <w:r w:rsidR="00AC4835">
        <w:t xml:space="preserve"> </w:t>
      </w:r>
      <w:r w:rsidR="00C6237C">
        <w:t>176</w:t>
      </w:r>
      <w:r w:rsidR="0072021E">
        <w:t xml:space="preserve"> </w:t>
      </w:r>
      <w:r w:rsidR="00C6237C">
        <w:t xml:space="preserve"> </w:t>
      </w:r>
      <w:r w:rsidR="00AC4835">
        <w:t>admisibles</w:t>
      </w:r>
      <w:r w:rsidR="00E66F96">
        <w:t xml:space="preserve"> de los cuales </w:t>
      </w:r>
      <w:r w:rsidR="00C6237C">
        <w:t xml:space="preserve"> 50</w:t>
      </w:r>
      <w:r w:rsidR="00E66F96">
        <w:t xml:space="preserve"> proyectos</w:t>
      </w:r>
      <w:r w:rsidR="00D218FE">
        <w:t xml:space="preserve"> fu</w:t>
      </w:r>
      <w:r w:rsidR="00AC4835">
        <w:t>eron adjudicado</w:t>
      </w:r>
      <w:r w:rsidR="00C6237C">
        <w:t>s.</w:t>
      </w:r>
    </w:p>
    <w:p w:rsidR="002107CF" w:rsidRDefault="002107CF">
      <w:pPr>
        <w:rPr>
          <w:b/>
          <w:sz w:val="24"/>
          <w:szCs w:val="24"/>
          <w:u w:val="single"/>
        </w:rPr>
      </w:pPr>
    </w:p>
    <w:p w:rsidR="00E66F96" w:rsidRPr="005C1F33" w:rsidRDefault="005C1F33">
      <w:pPr>
        <w:rPr>
          <w:b/>
          <w:sz w:val="24"/>
          <w:szCs w:val="24"/>
          <w:u w:val="single"/>
        </w:rPr>
      </w:pPr>
      <w:r w:rsidRPr="005C1F33">
        <w:rPr>
          <w:b/>
          <w:sz w:val="24"/>
          <w:szCs w:val="24"/>
          <w:u w:val="single"/>
        </w:rPr>
        <w:t>De la admisibilidad</w:t>
      </w:r>
    </w:p>
    <w:tbl>
      <w:tblPr>
        <w:tblW w:w="45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560"/>
        <w:gridCol w:w="1200"/>
      </w:tblGrid>
      <w:tr w:rsidR="0072021E" w:rsidRPr="0072021E" w:rsidTr="00E66F96">
        <w:trPr>
          <w:trHeight w:val="26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96" w:rsidRDefault="00E66F96" w:rsidP="00E66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72021E" w:rsidRDefault="0072021E" w:rsidP="00E66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Declarados</w:t>
            </w:r>
          </w:p>
          <w:p w:rsidR="00C6237C" w:rsidRPr="0072021E" w:rsidRDefault="00C6237C" w:rsidP="00E66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2021E" w:rsidRPr="0072021E" w:rsidRDefault="0072021E" w:rsidP="00E66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Proyectos Postulados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2021E" w:rsidRPr="0072021E" w:rsidRDefault="0072021E" w:rsidP="00E66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%</w:t>
            </w:r>
          </w:p>
        </w:tc>
      </w:tr>
      <w:tr w:rsidR="0072021E" w:rsidRPr="0072021E" w:rsidTr="00B179D4">
        <w:trPr>
          <w:trHeight w:val="261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Admisibles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60,7</w:t>
            </w:r>
          </w:p>
        </w:tc>
      </w:tr>
      <w:tr w:rsidR="0072021E" w:rsidRPr="0072021E" w:rsidTr="00B179D4">
        <w:trPr>
          <w:trHeight w:val="261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Inadmisibles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39,3</w:t>
            </w:r>
          </w:p>
        </w:tc>
      </w:tr>
      <w:tr w:rsidR="0072021E" w:rsidRPr="0072021E" w:rsidTr="00E66F96">
        <w:trPr>
          <w:trHeight w:val="261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2021E" w:rsidRDefault="0072021E" w:rsidP="0006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72021E" w:rsidRPr="0072021E" w:rsidRDefault="0072021E" w:rsidP="0006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Total Postulados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021E">
              <w:rPr>
                <w:rFonts w:ascii="Calibri" w:eastAsia="Times New Roman" w:hAnsi="Calibri" w:cs="Times New Roman"/>
                <w:color w:val="000000"/>
                <w:lang w:eastAsia="es-ES"/>
              </w:rPr>
              <w:t>100</w:t>
            </w:r>
          </w:p>
        </w:tc>
      </w:tr>
      <w:tr w:rsidR="0072021E" w:rsidRPr="0072021E" w:rsidTr="00E66F96">
        <w:trPr>
          <w:trHeight w:val="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2021E" w:rsidRPr="0072021E" w:rsidTr="00E66F96">
        <w:trPr>
          <w:trHeight w:val="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1E" w:rsidRPr="0072021E" w:rsidRDefault="0072021E" w:rsidP="0006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72021E" w:rsidRDefault="0072021E" w:rsidP="0072021E">
      <w:pPr>
        <w:jc w:val="center"/>
      </w:pPr>
    </w:p>
    <w:p w:rsidR="00B179D4" w:rsidRDefault="00B179D4" w:rsidP="0072021E">
      <w:pPr>
        <w:jc w:val="center"/>
      </w:pPr>
    </w:p>
    <w:p w:rsidR="00B179D4" w:rsidRDefault="00B179D4" w:rsidP="0072021E">
      <w:pPr>
        <w:jc w:val="center"/>
      </w:pPr>
      <w:r>
        <w:rPr>
          <w:noProof/>
        </w:rPr>
        <w:drawing>
          <wp:inline distT="0" distB="0" distL="0" distR="0">
            <wp:extent cx="4838700" cy="299085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37C" w:rsidRDefault="00C6237C" w:rsidP="00243233">
      <w:pPr>
        <w:jc w:val="both"/>
      </w:pPr>
      <w:r>
        <w:t>Se advierte casi un 40% de los postulados se declaran inadmisibles por no completar parte de los criterios mínimos solicitados, ya sea que superan el monto solicitado por línea, el plazo de ejecuci</w:t>
      </w:r>
      <w:r w:rsidR="002107CF">
        <w:t xml:space="preserve">ón excede el tiempo designado, </w:t>
      </w:r>
      <w:r>
        <w:t xml:space="preserve"> no presenta carta o esta viene sin timbre ni firma</w:t>
      </w:r>
      <w:r w:rsidR="002107CF">
        <w:t>, el establecimiento es particular o está involucrado directamente una persona contratada por el CNCA</w:t>
      </w:r>
      <w:r>
        <w:t>.</w:t>
      </w:r>
    </w:p>
    <w:p w:rsidR="00E66F96" w:rsidRDefault="005C1F33" w:rsidP="00C6237C">
      <w:r>
        <w:lastRenderedPageBreak/>
        <w:t>Cabe destacar que parte de las postulaciones realizadas, no pasaron a revisión de admisibilidad ya que los documentos estaban repetidos o estaban incompletos. Se sugiere que la plataforma virtual considere</w:t>
      </w:r>
      <w:r w:rsidR="002107CF">
        <w:t xml:space="preserve"> solo</w:t>
      </w:r>
      <w:r>
        <w:t xml:space="preserve"> una alternativa ya sea por línea o modalidad, a la vez que acuse el exceso de monto solicitado de acuerdo a la línea.</w:t>
      </w:r>
    </w:p>
    <w:p w:rsidR="002107CF" w:rsidRDefault="002107CF" w:rsidP="00C6237C"/>
    <w:p w:rsidR="00E66F96" w:rsidRPr="005C1F33" w:rsidRDefault="005C1F33" w:rsidP="00C6237C">
      <w:pPr>
        <w:rPr>
          <w:b/>
          <w:sz w:val="24"/>
          <w:szCs w:val="24"/>
          <w:u w:val="single"/>
        </w:rPr>
      </w:pPr>
      <w:r w:rsidRPr="005C1F33">
        <w:rPr>
          <w:b/>
          <w:sz w:val="24"/>
          <w:szCs w:val="24"/>
          <w:u w:val="single"/>
        </w:rPr>
        <w:t>De los resultados por región</w:t>
      </w:r>
    </w:p>
    <w:p w:rsidR="00C6237C" w:rsidRDefault="00C6237C" w:rsidP="00C6237C">
      <w:pPr>
        <w:jc w:val="both"/>
      </w:pPr>
    </w:p>
    <w:p w:rsidR="00DF6833" w:rsidRDefault="00AC4835">
      <w:r w:rsidRPr="00AC4835">
        <w:rPr>
          <w:noProof/>
        </w:rPr>
        <w:drawing>
          <wp:inline distT="0" distB="0" distL="0" distR="0">
            <wp:extent cx="5610225" cy="3209925"/>
            <wp:effectExtent l="1905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021E" w:rsidRDefault="00CB20D4" w:rsidP="005C1F33">
      <w:pPr>
        <w:jc w:val="both"/>
        <w:rPr>
          <w:b/>
          <w:sz w:val="24"/>
          <w:szCs w:val="24"/>
        </w:rPr>
      </w:pPr>
      <w:r>
        <w:t>Podemos observar, que la mayor cantidad de adjudicaciones de proyectos se concentran en la</w:t>
      </w:r>
      <w:r w:rsidR="00C6237C">
        <w:t xml:space="preserve"> región del Maule y del Bío Bío. Lo</w:t>
      </w:r>
      <w:r w:rsidR="00447AFA">
        <w:t xml:space="preserve"> que puede ser explicado por</w:t>
      </w:r>
      <w:r w:rsidR="00C6237C">
        <w:t xml:space="preserve">que </w:t>
      </w:r>
      <w:r w:rsidR="00447AFA">
        <w:t xml:space="preserve"> existe</w:t>
      </w:r>
      <w:r w:rsidR="00C6237C">
        <w:t xml:space="preserve"> una </w:t>
      </w:r>
      <w:r w:rsidR="00447AFA">
        <w:t xml:space="preserve"> mayor cantidad de postulaciones en dichas regiones.  </w:t>
      </w:r>
    </w:p>
    <w:p w:rsidR="0072021E" w:rsidRDefault="0072021E" w:rsidP="005C1F33">
      <w:pPr>
        <w:rPr>
          <w:b/>
          <w:sz w:val="24"/>
          <w:szCs w:val="24"/>
        </w:rPr>
      </w:pPr>
      <w:r w:rsidRPr="0072021E">
        <w:rPr>
          <w:b/>
          <w:sz w:val="24"/>
          <w:szCs w:val="24"/>
        </w:rPr>
        <w:t>Relación en cuanto a la postulación y su adjudicación.</w:t>
      </w:r>
    </w:p>
    <w:p w:rsidR="00447AFA" w:rsidRDefault="00447AFA">
      <w:r w:rsidRPr="00447AFA">
        <w:rPr>
          <w:noProof/>
        </w:rPr>
        <w:lastRenderedPageBreak/>
        <w:drawing>
          <wp:inline distT="0" distB="0" distL="0" distR="0">
            <wp:extent cx="5391150" cy="310515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0009" w:rsidRDefault="000C0009"/>
    <w:p w:rsidR="00243233" w:rsidRDefault="00447AFA" w:rsidP="00243233">
      <w:pPr>
        <w:jc w:val="both"/>
      </w:pPr>
      <w:r>
        <w:t>Podemos observar que se concentra en la zona central, el mayor volumen de participación de postulantes a estas iniciativas culturales escolares. Podemos darnos cuenta de que tanto en las regiones de: Ari</w:t>
      </w:r>
      <w:r w:rsidR="00395309">
        <w:t>ca y Parinacota, Magallanes y O`</w:t>
      </w:r>
      <w:r>
        <w:t>Higgins, existe la mayor desviac</w:t>
      </w:r>
      <w:r w:rsidR="00243233">
        <w:t>ión porcentual entre número de p</w:t>
      </w:r>
      <w:r>
        <w:t xml:space="preserve">ostulaciones y proyectos  adjudicaciones. </w:t>
      </w:r>
      <w:r w:rsidR="00243233">
        <w:t xml:space="preserve">A raíz de esto se </w:t>
      </w:r>
      <w:r w:rsidR="00DC712E">
        <w:t xml:space="preserve"> sugiere una mayor capacitación en el momento de</w:t>
      </w:r>
      <w:r w:rsidR="00243233">
        <w:t xml:space="preserve"> la postulación de los proyectos.</w:t>
      </w:r>
    </w:p>
    <w:p w:rsidR="00DC712E" w:rsidRDefault="00243233" w:rsidP="00DC712E">
      <w:r>
        <w:t xml:space="preserve"> </w:t>
      </w:r>
      <w:r w:rsidR="00D218FE">
        <w:t>P</w:t>
      </w:r>
      <w:r w:rsidR="00DC712E">
        <w:t>or otro lado</w:t>
      </w:r>
      <w:r w:rsidR="00D218FE">
        <w:t xml:space="preserve"> se sugiere </w:t>
      </w:r>
      <w:r w:rsidR="00DC712E">
        <w:t xml:space="preserve"> un mejor desarrollo comunicacional para las regiones </w:t>
      </w:r>
      <w:r w:rsidR="005C1F33">
        <w:t>más</w:t>
      </w:r>
      <w:r w:rsidR="00DC712E">
        <w:t xml:space="preserve"> extremas </w:t>
      </w:r>
      <w:r w:rsidR="00D218FE">
        <w:t xml:space="preserve">y a la de O´Higgins, </w:t>
      </w:r>
      <w:r w:rsidR="00DC712E">
        <w:t>ya que se infiere qu</w:t>
      </w:r>
      <w:r w:rsidR="00D218FE">
        <w:t>e en estas zonas la postulación es  menor   y</w:t>
      </w:r>
      <w:r w:rsidR="0072021E">
        <w:t xml:space="preserve">/o </w:t>
      </w:r>
      <w:r w:rsidR="00D218FE">
        <w:t xml:space="preserve"> es realizada de forma tal que quedan inadmisibles.</w:t>
      </w:r>
    </w:p>
    <w:p w:rsidR="005C1F33" w:rsidRDefault="005C1F33" w:rsidP="00DC712E">
      <w:pPr>
        <w:rPr>
          <w:b/>
        </w:rPr>
      </w:pPr>
    </w:p>
    <w:p w:rsidR="005C1F33" w:rsidRDefault="005C1F33" w:rsidP="00DC712E">
      <w:pPr>
        <w:rPr>
          <w:b/>
        </w:rPr>
      </w:pPr>
      <w:r w:rsidRPr="005C1F33">
        <w:rPr>
          <w:b/>
        </w:rPr>
        <w:t>De la distribución del fondo</w:t>
      </w:r>
    </w:p>
    <w:p w:rsidR="005C1F33" w:rsidRPr="005C1F33" w:rsidRDefault="005C1F33" w:rsidP="00DC712E">
      <w:pPr>
        <w:rPr>
          <w:b/>
        </w:rPr>
      </w:pPr>
    </w:p>
    <w:p w:rsidR="00DC712E" w:rsidRDefault="00DC712E">
      <w:r w:rsidRPr="00DC712E">
        <w:rPr>
          <w:noProof/>
        </w:rPr>
        <w:lastRenderedPageBreak/>
        <w:drawing>
          <wp:inline distT="0" distB="0" distL="0" distR="0">
            <wp:extent cx="5362575" cy="2924175"/>
            <wp:effectExtent l="1905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712E" w:rsidRDefault="00DC712E"/>
    <w:p w:rsidR="000C0009" w:rsidRDefault="00DC712E">
      <w:r>
        <w:t>Podemos observar que la región Metropolitana</w:t>
      </w:r>
      <w:r w:rsidR="00386D49">
        <w:t>, tiene el menor</w:t>
      </w:r>
      <w:r>
        <w:t xml:space="preserve"> de los montos por proyectos adjudicados, presentando una diferencia de $300.498 en relación al monto total presentado por la región de los Lagos el cual también presenta seis proyectos adjudicad</w:t>
      </w:r>
      <w:r w:rsidR="000C0009">
        <w:t>os.</w:t>
      </w:r>
    </w:p>
    <w:p w:rsidR="000C0009" w:rsidRDefault="000C0009"/>
    <w:p w:rsidR="000C0009" w:rsidRDefault="000C0009"/>
    <w:p w:rsidR="005C1F33" w:rsidRDefault="005C1F33"/>
    <w:p w:rsidR="005C1F33" w:rsidRDefault="005C1F33"/>
    <w:p w:rsidR="005C1F33" w:rsidRDefault="005C1F33"/>
    <w:p w:rsidR="005C1F33" w:rsidRDefault="005C1F33"/>
    <w:p w:rsidR="005B08C3" w:rsidRDefault="005B08C3"/>
    <w:p w:rsidR="005B08C3" w:rsidRDefault="005B08C3"/>
    <w:p w:rsidR="005B08C3" w:rsidRDefault="005B08C3"/>
    <w:p w:rsidR="005B08C3" w:rsidRDefault="005B08C3"/>
    <w:p w:rsidR="005B08C3" w:rsidRDefault="005B08C3"/>
    <w:p w:rsidR="005B08C3" w:rsidRDefault="005B08C3"/>
    <w:p w:rsidR="005B08C3" w:rsidRDefault="005B08C3">
      <w:bookmarkStart w:id="0" w:name="_GoBack"/>
      <w:bookmarkEnd w:id="0"/>
    </w:p>
    <w:p w:rsidR="00386D49" w:rsidRDefault="00386D49" w:rsidP="0072021E">
      <w:pPr>
        <w:jc w:val="center"/>
        <w:rPr>
          <w:b/>
          <w:sz w:val="24"/>
          <w:szCs w:val="24"/>
        </w:rPr>
      </w:pPr>
      <w:r w:rsidRPr="00386D49">
        <w:rPr>
          <w:b/>
          <w:sz w:val="24"/>
          <w:szCs w:val="24"/>
        </w:rPr>
        <w:lastRenderedPageBreak/>
        <w:t>Observaciones por Línea y Modalidad desarrolladas a los largo del país</w:t>
      </w:r>
    </w:p>
    <w:p w:rsidR="00386D49" w:rsidRDefault="00386D49">
      <w:pPr>
        <w:rPr>
          <w:b/>
          <w:sz w:val="24"/>
          <w:szCs w:val="24"/>
        </w:rPr>
      </w:pPr>
    </w:p>
    <w:tbl>
      <w:tblPr>
        <w:tblW w:w="81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560"/>
        <w:gridCol w:w="1200"/>
        <w:gridCol w:w="1200"/>
        <w:gridCol w:w="1200"/>
        <w:gridCol w:w="1234"/>
      </w:tblGrid>
      <w:tr w:rsidR="00386D49" w:rsidRPr="00386D49" w:rsidTr="00386D49">
        <w:trPr>
          <w:trHeight w:val="34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95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Línea /  </w:t>
            </w:r>
            <w:r w:rsidR="0039530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           </w:t>
            </w: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Modalidad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86D49" w:rsidRPr="00386D49" w:rsidRDefault="00386D49" w:rsidP="0039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Equipamiento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Extensión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Formación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Producción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Total</w:t>
            </w:r>
            <w:r w:rsidR="0039530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Adjudicados</w:t>
            </w:r>
          </w:p>
        </w:tc>
      </w:tr>
      <w:tr w:rsidR="00386D49" w:rsidRPr="00386D49" w:rsidTr="000C000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Continuidad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</w:tr>
      <w:tr w:rsidR="00386D49" w:rsidRPr="00386D49" w:rsidTr="000C000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Inéditas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</w:tr>
      <w:tr w:rsidR="00386D49" w:rsidRPr="00386D49" w:rsidTr="0039530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BE5F1" w:themeColor="accent1" w:themeTint="33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49" w:rsidRPr="00386D49" w:rsidRDefault="00386D49" w:rsidP="00386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D49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</w:tr>
    </w:tbl>
    <w:p w:rsidR="00E17C74" w:rsidRDefault="00E17C74"/>
    <w:p w:rsidR="00386D49" w:rsidRDefault="00386D49">
      <w:r w:rsidRPr="00386D49">
        <w:rPr>
          <w:noProof/>
        </w:rPr>
        <w:drawing>
          <wp:inline distT="0" distB="0" distL="0" distR="0">
            <wp:extent cx="5153025" cy="2743200"/>
            <wp:effectExtent l="1905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0604" w:rsidRDefault="00AD0604"/>
    <w:p w:rsidR="00AD0604" w:rsidRPr="00395309" w:rsidRDefault="00AD0604" w:rsidP="00AD0604">
      <w:r>
        <w:t>A lo largo del país se marca una tendencia a postular proyectos en el área de Continuidad y en la modalidad de Equipamiento. Las modalidades que obtienen menor participación son las de desarrollo de proyectos de formación  y extensión.</w:t>
      </w:r>
    </w:p>
    <w:p w:rsidR="00AD0604" w:rsidRDefault="00AD0604"/>
    <w:p w:rsidR="000C0009" w:rsidRDefault="000C0009"/>
    <w:p w:rsidR="000C0009" w:rsidRDefault="000C0009"/>
    <w:p w:rsidR="00DC712E" w:rsidRDefault="00DC712E"/>
    <w:p w:rsidR="00DC712E" w:rsidRDefault="00DC712E"/>
    <w:p w:rsidR="00DC712E" w:rsidRDefault="00DC712E"/>
    <w:p w:rsidR="00DC712E" w:rsidRDefault="00DC712E"/>
    <w:sectPr w:rsidR="00DC712E" w:rsidSect="00881ED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21" w:rsidRDefault="00140021" w:rsidP="005B08C3">
      <w:pPr>
        <w:spacing w:after="0" w:line="240" w:lineRule="auto"/>
      </w:pPr>
      <w:r>
        <w:separator/>
      </w:r>
    </w:p>
  </w:endnote>
  <w:endnote w:type="continuationSeparator" w:id="0">
    <w:p w:rsidR="00140021" w:rsidRDefault="00140021" w:rsidP="005B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21" w:rsidRDefault="00140021" w:rsidP="005B08C3">
      <w:pPr>
        <w:spacing w:after="0" w:line="240" w:lineRule="auto"/>
      </w:pPr>
      <w:r>
        <w:separator/>
      </w:r>
    </w:p>
  </w:footnote>
  <w:footnote w:type="continuationSeparator" w:id="0">
    <w:p w:rsidR="00140021" w:rsidRDefault="00140021" w:rsidP="005B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C3" w:rsidRDefault="005B08C3">
    <w:pPr>
      <w:pStyle w:val="Encabezado"/>
    </w:pPr>
  </w:p>
  <w:p w:rsidR="005B08C3" w:rsidRDefault="005B08C3" w:rsidP="005B08C3">
    <w:pPr>
      <w:pStyle w:val="Encabezado"/>
      <w:ind w:left="-709"/>
    </w:pPr>
    <w:r>
      <w:rPr>
        <w:noProof/>
      </w:rPr>
      <w:drawing>
        <wp:inline distT="0" distB="0" distL="0" distR="0">
          <wp:extent cx="2600325" cy="657225"/>
          <wp:effectExtent l="0" t="0" r="9525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e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882" cy="660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8C3" w:rsidRDefault="005B08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DA"/>
    <w:rsid w:val="000C0009"/>
    <w:rsid w:val="00140021"/>
    <w:rsid w:val="002107CF"/>
    <w:rsid w:val="00243233"/>
    <w:rsid w:val="00257023"/>
    <w:rsid w:val="00370BDA"/>
    <w:rsid w:val="00386D49"/>
    <w:rsid w:val="00395309"/>
    <w:rsid w:val="00447AFA"/>
    <w:rsid w:val="005B08C3"/>
    <w:rsid w:val="005C1F33"/>
    <w:rsid w:val="0072021E"/>
    <w:rsid w:val="007A7BEF"/>
    <w:rsid w:val="00881ED3"/>
    <w:rsid w:val="00AB244B"/>
    <w:rsid w:val="00AC4835"/>
    <w:rsid w:val="00AD0604"/>
    <w:rsid w:val="00B179D4"/>
    <w:rsid w:val="00C6237C"/>
    <w:rsid w:val="00CB20D4"/>
    <w:rsid w:val="00D218FE"/>
    <w:rsid w:val="00DC712E"/>
    <w:rsid w:val="00DF6833"/>
    <w:rsid w:val="00E17C74"/>
    <w:rsid w:val="00E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8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0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C3"/>
  </w:style>
  <w:style w:type="paragraph" w:styleId="Piedepgina">
    <w:name w:val="footer"/>
    <w:basedOn w:val="Normal"/>
    <w:link w:val="PiedepginaCar"/>
    <w:uiPriority w:val="99"/>
    <w:unhideWhenUsed/>
    <w:rsid w:val="005B0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8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0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C3"/>
  </w:style>
  <w:style w:type="paragraph" w:styleId="Piedepgina">
    <w:name w:val="footer"/>
    <w:basedOn w:val="Normal"/>
    <w:link w:val="PiedepginaCar"/>
    <w:uiPriority w:val="99"/>
    <w:unhideWhenUsed/>
    <w:rsid w:val="005B0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ricia%20Andrea\Downloads\BD%20Iniciativas%20escolares%202013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ricia%20Andrea\Downloads\BD%20Iniciativas%20escolares%202013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ricia%20Andrea\Downloads\BD%20Iniciativas%20escolares%202013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ricia%20Andrea\Downloads\BD%20Iniciativas%20escolares%202013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Porcentaje  de Admisibles</a:t>
            </a:r>
            <a:r>
              <a:rPr lang="en-US" baseline="0"/>
              <a:t> e Inadmisibles</a:t>
            </a:r>
            <a:r>
              <a:rPr lang="en-US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 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cat>
            <c:strRef>
              <c:f>Hoja1!$A$2:$A$5</c:f>
              <c:strCache>
                <c:ptCount val="2"/>
                <c:pt idx="0">
                  <c:v>Admisibles</c:v>
                </c:pt>
                <c:pt idx="1">
                  <c:v>Inadmisibles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60.7</c:v>
                </c:pt>
                <c:pt idx="1">
                  <c:v>39.299999999999997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195469237231421"/>
          <c:y val="0.41670369753629738"/>
          <c:w val="0.30393586877589673"/>
          <c:h val="9.398450571322088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Cantidad</a:t>
            </a:r>
            <a:r>
              <a:rPr lang="en-US" sz="1400" baseline="0"/>
              <a:t> de adjudicados</a:t>
            </a:r>
            <a:r>
              <a:rPr lang="en-US" sz="1400"/>
              <a:t> por Región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'Adjudicados x región'!$D$5</c:f>
              <c:strCache>
                <c:ptCount val="1"/>
                <c:pt idx="0">
                  <c:v>Adjudicados</c:v>
                </c:pt>
              </c:strCache>
            </c:strRef>
          </c:tx>
          <c:invertIfNegative val="0"/>
          <c:cat>
            <c:strRef>
              <c:f>'Adjudicados x región'!$B$6:$B$20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O'Higgins</c:v>
                </c:pt>
                <c:pt idx="8">
                  <c:v>Maule</c:v>
                </c:pt>
                <c:pt idx="9">
                  <c:v>Bio Bío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Aysen</c:v>
                </c:pt>
                <c:pt idx="14">
                  <c:v>Magallanes</c:v>
                </c:pt>
              </c:strCache>
            </c:strRef>
          </c:cat>
          <c:val>
            <c:numRef>
              <c:f>'Adjudicados x región'!$D$6:$D$20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1</c:v>
                </c:pt>
                <c:pt idx="8">
                  <c:v>7</c:v>
                </c:pt>
                <c:pt idx="9">
                  <c:v>7</c:v>
                </c:pt>
                <c:pt idx="10">
                  <c:v>4</c:v>
                </c:pt>
                <c:pt idx="11">
                  <c:v>2</c:v>
                </c:pt>
                <c:pt idx="12">
                  <c:v>6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252352"/>
        <c:axId val="255253888"/>
      </c:barChart>
      <c:catAx>
        <c:axId val="255252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55253888"/>
        <c:crosses val="autoZero"/>
        <c:auto val="1"/>
        <c:lblAlgn val="ctr"/>
        <c:lblOffset val="100"/>
        <c:noMultiLvlLbl val="0"/>
      </c:catAx>
      <c:valAx>
        <c:axId val="255253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525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'Adjudicados x región'!$E$5</c:f>
              <c:strCache>
                <c:ptCount val="1"/>
                <c:pt idx="0">
                  <c:v>Postulados</c:v>
                </c:pt>
              </c:strCache>
            </c:strRef>
          </c:tx>
          <c:invertIfNegative val="0"/>
          <c:cat>
            <c:strRef>
              <c:f>'Adjudicados x región'!$B$6:$B$20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O'Higgins</c:v>
                </c:pt>
                <c:pt idx="8">
                  <c:v>Maule</c:v>
                </c:pt>
                <c:pt idx="9">
                  <c:v>Bio Bío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Aysen</c:v>
                </c:pt>
                <c:pt idx="14">
                  <c:v>Magallanes</c:v>
                </c:pt>
              </c:strCache>
            </c:strRef>
          </c:cat>
          <c:val>
            <c:numRef>
              <c:f>'Adjudicados x región'!$E$6:$E$20</c:f>
              <c:numCache>
                <c:formatCode>General</c:formatCode>
                <c:ptCount val="15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11</c:v>
                </c:pt>
                <c:pt idx="5">
                  <c:v>15</c:v>
                </c:pt>
                <c:pt idx="6">
                  <c:v>22</c:v>
                </c:pt>
                <c:pt idx="7">
                  <c:v>10</c:v>
                </c:pt>
                <c:pt idx="8">
                  <c:v>17</c:v>
                </c:pt>
                <c:pt idx="9">
                  <c:v>29</c:v>
                </c:pt>
                <c:pt idx="10">
                  <c:v>14</c:v>
                </c:pt>
                <c:pt idx="11">
                  <c:v>9</c:v>
                </c:pt>
                <c:pt idx="12">
                  <c:v>21</c:v>
                </c:pt>
                <c:pt idx="13">
                  <c:v>7</c:v>
                </c:pt>
                <c:pt idx="14">
                  <c:v>10</c:v>
                </c:pt>
              </c:numCache>
            </c:numRef>
          </c:val>
        </c:ser>
        <c:ser>
          <c:idx val="1"/>
          <c:order val="1"/>
          <c:tx>
            <c:strRef>
              <c:f>'Adjudicados x región'!$D$5</c:f>
              <c:strCache>
                <c:ptCount val="1"/>
                <c:pt idx="0">
                  <c:v>Adjudicados</c:v>
                </c:pt>
              </c:strCache>
            </c:strRef>
          </c:tx>
          <c:invertIfNegative val="0"/>
          <c:cat>
            <c:strRef>
              <c:f>'Adjudicados x región'!$B$6:$B$20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O'Higgins</c:v>
                </c:pt>
                <c:pt idx="8">
                  <c:v>Maule</c:v>
                </c:pt>
                <c:pt idx="9">
                  <c:v>Bio Bío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Aysen</c:v>
                </c:pt>
                <c:pt idx="14">
                  <c:v>Magallanes</c:v>
                </c:pt>
              </c:strCache>
            </c:strRef>
          </c:cat>
          <c:val>
            <c:numRef>
              <c:f>'Adjudicados x región'!$D$6:$D$20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1</c:v>
                </c:pt>
                <c:pt idx="8">
                  <c:v>7</c:v>
                </c:pt>
                <c:pt idx="9">
                  <c:v>7</c:v>
                </c:pt>
                <c:pt idx="10">
                  <c:v>4</c:v>
                </c:pt>
                <c:pt idx="11">
                  <c:v>2</c:v>
                </c:pt>
                <c:pt idx="12">
                  <c:v>6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373696"/>
        <c:axId val="255375232"/>
      </c:barChart>
      <c:catAx>
        <c:axId val="25537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375232"/>
        <c:crosses val="autoZero"/>
        <c:auto val="1"/>
        <c:lblAlgn val="ctr"/>
        <c:lblOffset val="100"/>
        <c:noMultiLvlLbl val="0"/>
      </c:catAx>
      <c:valAx>
        <c:axId val="25537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37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400"/>
              <a:t>Monto adjudicado</a:t>
            </a:r>
            <a:r>
              <a:rPr lang="es-ES" sz="1400" baseline="0"/>
              <a:t> </a:t>
            </a:r>
            <a:r>
              <a:rPr lang="es-ES" sz="1400"/>
              <a:t>por Regiones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'Adjudicados x región'!$C$5</c:f>
              <c:strCache>
                <c:ptCount val="1"/>
                <c:pt idx="0">
                  <c:v>Monto</c:v>
                </c:pt>
              </c:strCache>
            </c:strRef>
          </c:tx>
          <c:invertIfNegative val="0"/>
          <c:cat>
            <c:strRef>
              <c:f>'Adjudicados x región'!$B$6:$B$20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O'Higgins</c:v>
                </c:pt>
                <c:pt idx="8">
                  <c:v>Maule</c:v>
                </c:pt>
                <c:pt idx="9">
                  <c:v>Bio Bío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Aysen</c:v>
                </c:pt>
                <c:pt idx="14">
                  <c:v>Magallanes</c:v>
                </c:pt>
              </c:strCache>
            </c:strRef>
          </c:cat>
          <c:val>
            <c:numRef>
              <c:f>'Adjudicados x región'!$C$6:$C$20</c:f>
              <c:numCache>
                <c:formatCode>"$"#,##0_);[Red]\("$"#,##0\)</c:formatCode>
                <c:ptCount val="15"/>
                <c:pt idx="0">
                  <c:v>150000</c:v>
                </c:pt>
                <c:pt idx="1">
                  <c:v>0</c:v>
                </c:pt>
                <c:pt idx="2">
                  <c:v>300000</c:v>
                </c:pt>
                <c:pt idx="3">
                  <c:v>300000</c:v>
                </c:pt>
                <c:pt idx="4" formatCode="#,##0">
                  <c:v>1636000</c:v>
                </c:pt>
                <c:pt idx="5" formatCode="#,##0">
                  <c:v>1579828</c:v>
                </c:pt>
                <c:pt idx="6" formatCode="#,##0">
                  <c:v>1349532</c:v>
                </c:pt>
                <c:pt idx="7" formatCode="#,##0">
                  <c:v>300000</c:v>
                </c:pt>
                <c:pt idx="8" formatCode="#,##0">
                  <c:v>1765000</c:v>
                </c:pt>
                <c:pt idx="9" formatCode="#,##0">
                  <c:v>1884240</c:v>
                </c:pt>
                <c:pt idx="10" formatCode="#,##0">
                  <c:v>800000</c:v>
                </c:pt>
                <c:pt idx="11" formatCode="#,##0">
                  <c:v>600000</c:v>
                </c:pt>
                <c:pt idx="12" formatCode="#,##0">
                  <c:v>1650000</c:v>
                </c:pt>
                <c:pt idx="13" formatCode="#,##0">
                  <c:v>300000</c:v>
                </c:pt>
                <c:pt idx="1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387136"/>
        <c:axId val="255388672"/>
      </c:barChart>
      <c:catAx>
        <c:axId val="25538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388672"/>
        <c:crosses val="autoZero"/>
        <c:auto val="1"/>
        <c:lblAlgn val="ctr"/>
        <c:lblOffset val="100"/>
        <c:noMultiLvlLbl val="0"/>
      </c:catAx>
      <c:valAx>
        <c:axId val="255388672"/>
        <c:scaling>
          <c:orientation val="minMax"/>
        </c:scaling>
        <c:delete val="0"/>
        <c:axPos val="l"/>
        <c:majorGridlines/>
        <c:numFmt formatCode="&quot;$&quot;#,##0_);[Red]\(&quot;$&quot;#,##0\)" sourceLinked="1"/>
        <c:majorTickMark val="out"/>
        <c:minorTickMark val="none"/>
        <c:tickLblPos val="nextTo"/>
        <c:crossAx val="25538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'Adjudicados por modalidad'!$B$3</c:f>
              <c:strCache>
                <c:ptCount val="1"/>
                <c:pt idx="0">
                  <c:v>Continuidad</c:v>
                </c:pt>
              </c:strCache>
            </c:strRef>
          </c:tx>
          <c:invertIfNegative val="0"/>
          <c:cat>
            <c:strRef>
              <c:f>'Adjudicados por modalidad'!$C$2:$G$2</c:f>
              <c:strCache>
                <c:ptCount val="5"/>
                <c:pt idx="0">
                  <c:v>Equipamiento</c:v>
                </c:pt>
                <c:pt idx="1">
                  <c:v>Extensión</c:v>
                </c:pt>
                <c:pt idx="2">
                  <c:v>Formación </c:v>
                </c:pt>
                <c:pt idx="3">
                  <c:v>Producción</c:v>
                </c:pt>
                <c:pt idx="4">
                  <c:v>Total</c:v>
                </c:pt>
              </c:strCache>
            </c:strRef>
          </c:cat>
          <c:val>
            <c:numRef>
              <c:f>'Adjudicados por modalidad'!$C$3:$G$3</c:f>
              <c:numCache>
                <c:formatCode>General</c:formatCode>
                <c:ptCount val="5"/>
                <c:pt idx="0">
                  <c:v>24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'Adjudicados por modalidad'!$B$4</c:f>
              <c:strCache>
                <c:ptCount val="1"/>
                <c:pt idx="0">
                  <c:v>Inéditas </c:v>
                </c:pt>
              </c:strCache>
            </c:strRef>
          </c:tx>
          <c:invertIfNegative val="0"/>
          <c:cat>
            <c:strRef>
              <c:f>'Adjudicados por modalidad'!$C$2:$G$2</c:f>
              <c:strCache>
                <c:ptCount val="5"/>
                <c:pt idx="0">
                  <c:v>Equipamiento</c:v>
                </c:pt>
                <c:pt idx="1">
                  <c:v>Extensión</c:v>
                </c:pt>
                <c:pt idx="2">
                  <c:v>Formación </c:v>
                </c:pt>
                <c:pt idx="3">
                  <c:v>Producción</c:v>
                </c:pt>
                <c:pt idx="4">
                  <c:v>Total</c:v>
                </c:pt>
              </c:strCache>
            </c:strRef>
          </c:cat>
          <c:val>
            <c:numRef>
              <c:f>'Adjudicados por modalidad'!$C$4:$G$4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153280"/>
        <c:axId val="253154816"/>
      </c:barChart>
      <c:catAx>
        <c:axId val="25315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3154816"/>
        <c:crosses val="autoZero"/>
        <c:auto val="1"/>
        <c:lblAlgn val="ctr"/>
        <c:lblOffset val="100"/>
        <c:noMultiLvlLbl val="0"/>
      </c:catAx>
      <c:valAx>
        <c:axId val="25315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15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Andrea</dc:creator>
  <cp:lastModifiedBy>Marcelo Andrés Lucero Tobar</cp:lastModifiedBy>
  <cp:revision>7</cp:revision>
  <dcterms:created xsi:type="dcterms:W3CDTF">2013-09-09T16:51:00Z</dcterms:created>
  <dcterms:modified xsi:type="dcterms:W3CDTF">2013-09-10T17:46:00Z</dcterms:modified>
</cp:coreProperties>
</file>