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3E" w:rsidRDefault="00D8303E" w:rsidP="00303FBE">
      <w:pPr>
        <w:jc w:val="center"/>
        <w:rPr>
          <w:u w:val="single"/>
        </w:rPr>
      </w:pPr>
      <w:r>
        <w:rPr>
          <w:u w:val="single"/>
        </w:rPr>
        <w:t>Descripción General</w:t>
      </w:r>
    </w:p>
    <w:p w:rsidR="00D8303E" w:rsidRPr="00D8303E" w:rsidRDefault="00D8303E" w:rsidP="00D8303E">
      <w:r>
        <w:t xml:space="preserve">El Fondo de Educación Artística iniciado el año 2012 </w:t>
      </w:r>
      <w:bookmarkStart w:id="0" w:name="_GoBack"/>
      <w:bookmarkEnd w:id="0"/>
      <w:r>
        <w:t xml:space="preserve"> </w:t>
      </w:r>
    </w:p>
    <w:p w:rsidR="00CE792E" w:rsidRPr="006F4CE3" w:rsidRDefault="00E94A87" w:rsidP="00303FBE">
      <w:pPr>
        <w:jc w:val="center"/>
        <w:rPr>
          <w:u w:val="single"/>
        </w:rPr>
      </w:pPr>
      <w:r w:rsidRPr="006F4CE3">
        <w:rPr>
          <w:u w:val="single"/>
        </w:rPr>
        <w:t>Total</w:t>
      </w:r>
      <w:r w:rsidR="006A1809" w:rsidRPr="006F4CE3">
        <w:rPr>
          <w:u w:val="single"/>
        </w:rPr>
        <w:t xml:space="preserve"> de modalidades </w:t>
      </w:r>
      <w:r w:rsidRPr="006F4CE3">
        <w:rPr>
          <w:u w:val="single"/>
        </w:rPr>
        <w:t xml:space="preserve"> de postulación.</w:t>
      </w:r>
    </w:p>
    <w:tbl>
      <w:tblPr>
        <w:tblStyle w:val="Sombreadoclaro-nfasis5"/>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60"/>
        <w:gridCol w:w="1360"/>
        <w:gridCol w:w="1300"/>
      </w:tblGrid>
      <w:tr w:rsidR="00E94A87" w:rsidRPr="00E94A87" w:rsidTr="00303FB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E94A87">
            <w:pPr>
              <w:rPr>
                <w:rFonts w:ascii="Calibri" w:eastAsia="Times New Roman" w:hAnsi="Calibri" w:cs="Times New Roman"/>
                <w:color w:val="000000"/>
                <w:lang w:eastAsia="es-CL"/>
              </w:rPr>
            </w:pPr>
            <w:r w:rsidRPr="00E94A87">
              <w:rPr>
                <w:rFonts w:ascii="Calibri" w:eastAsia="Times New Roman" w:hAnsi="Calibri" w:cs="Times New Roman"/>
                <w:color w:val="000000"/>
                <w:lang w:eastAsia="es-CL"/>
              </w:rPr>
              <w:t> </w:t>
            </w:r>
          </w:p>
        </w:tc>
        <w:tc>
          <w:tcPr>
            <w:tcW w:w="146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E94A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E94A87">
              <w:rPr>
                <w:rFonts w:ascii="Calibri" w:eastAsia="Times New Roman" w:hAnsi="Calibri" w:cs="Times New Roman"/>
                <w:b w:val="0"/>
                <w:bCs w:val="0"/>
                <w:color w:val="000000"/>
                <w:lang w:eastAsia="es-CL"/>
              </w:rPr>
              <w:t>Inéditas</w:t>
            </w:r>
          </w:p>
        </w:tc>
        <w:tc>
          <w:tcPr>
            <w:tcW w:w="136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E94A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E94A87">
              <w:rPr>
                <w:rFonts w:ascii="Calibri" w:eastAsia="Times New Roman" w:hAnsi="Calibri" w:cs="Times New Roman"/>
                <w:color w:val="000000"/>
                <w:lang w:eastAsia="es-CL"/>
              </w:rPr>
              <w:t>Continuas</w:t>
            </w:r>
          </w:p>
        </w:tc>
        <w:tc>
          <w:tcPr>
            <w:tcW w:w="130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E94A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E94A87">
              <w:rPr>
                <w:rFonts w:ascii="Calibri" w:eastAsia="Times New Roman" w:hAnsi="Calibri" w:cs="Times New Roman"/>
                <w:color w:val="000000"/>
                <w:lang w:eastAsia="es-CL"/>
              </w:rPr>
              <w:t>Total</w:t>
            </w:r>
          </w:p>
        </w:tc>
      </w:tr>
      <w:tr w:rsidR="00E94A87" w:rsidRPr="00E94A87" w:rsidTr="00303F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left w:val="none" w:sz="0" w:space="0" w:color="auto"/>
              <w:right w:val="none" w:sz="0" w:space="0" w:color="auto"/>
            </w:tcBorders>
            <w:noWrap/>
            <w:hideMark/>
          </w:tcPr>
          <w:p w:rsidR="00E94A87" w:rsidRPr="00E94A87" w:rsidRDefault="00E94A87" w:rsidP="00E94A87">
            <w:pPr>
              <w:rPr>
                <w:rFonts w:ascii="Calibri" w:eastAsia="Times New Roman" w:hAnsi="Calibri" w:cs="Times New Roman"/>
                <w:color w:val="000000"/>
                <w:lang w:eastAsia="es-CL"/>
              </w:rPr>
            </w:pPr>
            <w:r>
              <w:rPr>
                <w:rFonts w:ascii="Calibri" w:eastAsia="Times New Roman" w:hAnsi="Calibri" w:cs="Times New Roman"/>
                <w:b w:val="0"/>
                <w:bCs w:val="0"/>
                <w:color w:val="000000"/>
                <w:lang w:eastAsia="es-CL"/>
              </w:rPr>
              <w:t xml:space="preserve">N° </w:t>
            </w:r>
            <w:r w:rsidRPr="00E94A87">
              <w:rPr>
                <w:rFonts w:ascii="Calibri" w:eastAsia="Times New Roman" w:hAnsi="Calibri" w:cs="Times New Roman"/>
                <w:b w:val="0"/>
                <w:bCs w:val="0"/>
                <w:color w:val="000000"/>
                <w:lang w:eastAsia="es-CL"/>
              </w:rPr>
              <w:t>Postulantes</w:t>
            </w:r>
          </w:p>
        </w:tc>
        <w:tc>
          <w:tcPr>
            <w:tcW w:w="1460" w:type="dxa"/>
            <w:tcBorders>
              <w:left w:val="none" w:sz="0" w:space="0" w:color="auto"/>
              <w:right w:val="none" w:sz="0" w:space="0" w:color="auto"/>
            </w:tcBorders>
            <w:noWrap/>
            <w:hideMark/>
          </w:tcPr>
          <w:p w:rsidR="00E94A87" w:rsidRPr="00E94A87" w:rsidRDefault="00E33E5F" w:rsidP="00303F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81</w:t>
            </w:r>
          </w:p>
        </w:tc>
        <w:tc>
          <w:tcPr>
            <w:tcW w:w="1360" w:type="dxa"/>
            <w:tcBorders>
              <w:left w:val="none" w:sz="0" w:space="0" w:color="auto"/>
              <w:right w:val="none" w:sz="0" w:space="0" w:color="auto"/>
            </w:tcBorders>
            <w:noWrap/>
            <w:hideMark/>
          </w:tcPr>
          <w:p w:rsidR="00E94A87" w:rsidRPr="00E94A87" w:rsidRDefault="00E33E5F" w:rsidP="00303F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129</w:t>
            </w:r>
          </w:p>
        </w:tc>
        <w:tc>
          <w:tcPr>
            <w:tcW w:w="1300" w:type="dxa"/>
            <w:tcBorders>
              <w:left w:val="none" w:sz="0" w:space="0" w:color="auto"/>
              <w:right w:val="none" w:sz="0" w:space="0" w:color="auto"/>
            </w:tcBorders>
            <w:noWrap/>
            <w:hideMark/>
          </w:tcPr>
          <w:p w:rsidR="00E94A87" w:rsidRPr="00E94A87" w:rsidRDefault="000C797E" w:rsidP="00303FB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210</w:t>
            </w:r>
          </w:p>
        </w:tc>
      </w:tr>
    </w:tbl>
    <w:p w:rsidR="00E94A87" w:rsidRDefault="00E94A87">
      <w:r>
        <w:t xml:space="preserve"> </w:t>
      </w:r>
    </w:p>
    <w:p w:rsidR="00E94A87" w:rsidRDefault="000C797E">
      <w:r>
        <w:t xml:space="preserve">*De un total de 210 postulantes al “Fondo  de Educación Artística (FAE)”, 81 corresponden a postulaciones inéditas y 129 a postulaciones continuas. </w:t>
      </w:r>
    </w:p>
    <w:p w:rsidR="00E94A87" w:rsidRDefault="00E94A87"/>
    <w:p w:rsidR="00E94A87" w:rsidRPr="006F4CE3" w:rsidRDefault="00E94A87" w:rsidP="00633987">
      <w:pPr>
        <w:jc w:val="center"/>
        <w:rPr>
          <w:u w:val="single"/>
        </w:rPr>
      </w:pPr>
      <w:r w:rsidRPr="006F4CE3">
        <w:rPr>
          <w:u w:val="single"/>
        </w:rPr>
        <w:t>Postulaciones según categoría.</w:t>
      </w:r>
    </w:p>
    <w:tbl>
      <w:tblPr>
        <w:tblStyle w:val="Sombreadoclaro-nfasis5"/>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540"/>
        <w:gridCol w:w="1200"/>
        <w:gridCol w:w="1200"/>
        <w:gridCol w:w="1241"/>
        <w:gridCol w:w="1200"/>
      </w:tblGrid>
      <w:tr w:rsidR="00633987" w:rsidRPr="00633987" w:rsidTr="00303F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 </w:t>
            </w:r>
          </w:p>
        </w:tc>
        <w:tc>
          <w:tcPr>
            <w:tcW w:w="154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Equipamiento</w:t>
            </w:r>
          </w:p>
        </w:tc>
        <w:tc>
          <w:tcPr>
            <w:tcW w:w="120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Extensión</w:t>
            </w:r>
          </w:p>
        </w:tc>
        <w:tc>
          <w:tcPr>
            <w:tcW w:w="120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 xml:space="preserve">Formación </w:t>
            </w:r>
          </w:p>
        </w:tc>
        <w:tc>
          <w:tcPr>
            <w:tcW w:w="120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Producción</w:t>
            </w:r>
          </w:p>
        </w:tc>
        <w:tc>
          <w:tcPr>
            <w:tcW w:w="1200" w:type="dxa"/>
            <w:tcBorders>
              <w:top w:val="none" w:sz="0" w:space="0" w:color="auto"/>
              <w:left w:val="none" w:sz="0" w:space="0" w:color="auto"/>
              <w:bottom w:val="none" w:sz="0" w:space="0" w:color="auto"/>
              <w:right w:val="none" w:sz="0" w:space="0" w:color="auto"/>
            </w:tcBorders>
            <w:noWrap/>
            <w:hideMark/>
          </w:tcPr>
          <w:p w:rsidR="00633987" w:rsidRPr="00633987" w:rsidRDefault="00633987" w:rsidP="006339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Línea</w:t>
            </w:r>
            <w:r w:rsidR="00806E26">
              <w:rPr>
                <w:rFonts w:ascii="Calibri" w:eastAsia="Times New Roman" w:hAnsi="Calibri" w:cs="Times New Roman"/>
                <w:color w:val="000000"/>
                <w:lang w:eastAsia="es-CL"/>
              </w:rPr>
              <w:t xml:space="preserve"> Total</w:t>
            </w:r>
          </w:p>
        </w:tc>
      </w:tr>
      <w:tr w:rsidR="00633987" w:rsidRPr="00633987" w:rsidTr="00303F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tcBorders>
              <w:left w:val="none" w:sz="0" w:space="0" w:color="auto"/>
              <w:right w:val="none" w:sz="0" w:space="0" w:color="auto"/>
            </w:tcBorders>
            <w:noWrap/>
            <w:hideMark/>
          </w:tcPr>
          <w:p w:rsidR="00633987" w:rsidRPr="00633987" w:rsidRDefault="00633987" w:rsidP="00633987">
            <w:pPr>
              <w:jc w:val="center"/>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inédita</w:t>
            </w:r>
          </w:p>
        </w:tc>
        <w:tc>
          <w:tcPr>
            <w:tcW w:w="154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34</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6</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12</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29</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81</w:t>
            </w:r>
          </w:p>
        </w:tc>
      </w:tr>
      <w:tr w:rsidR="00633987" w:rsidRPr="00633987" w:rsidTr="00303FBE">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rsidR="00633987" w:rsidRPr="00633987" w:rsidRDefault="00633987" w:rsidP="00633987">
            <w:pPr>
              <w:jc w:val="center"/>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Continuidad</w:t>
            </w:r>
          </w:p>
        </w:tc>
        <w:tc>
          <w:tcPr>
            <w:tcW w:w="1540" w:type="dxa"/>
            <w:noWrap/>
            <w:hideMark/>
          </w:tcPr>
          <w:p w:rsidR="00633987" w:rsidRPr="00633987" w:rsidRDefault="00633987" w:rsidP="006339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82</w:t>
            </w:r>
          </w:p>
        </w:tc>
        <w:tc>
          <w:tcPr>
            <w:tcW w:w="1200" w:type="dxa"/>
            <w:noWrap/>
            <w:hideMark/>
          </w:tcPr>
          <w:p w:rsidR="00633987" w:rsidRPr="00633987" w:rsidRDefault="00633987" w:rsidP="006339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14</w:t>
            </w:r>
          </w:p>
        </w:tc>
        <w:tc>
          <w:tcPr>
            <w:tcW w:w="1200" w:type="dxa"/>
            <w:noWrap/>
            <w:hideMark/>
          </w:tcPr>
          <w:p w:rsidR="00633987" w:rsidRPr="00633987" w:rsidRDefault="00633987" w:rsidP="006339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10</w:t>
            </w:r>
          </w:p>
        </w:tc>
        <w:tc>
          <w:tcPr>
            <w:tcW w:w="1200" w:type="dxa"/>
            <w:noWrap/>
            <w:hideMark/>
          </w:tcPr>
          <w:p w:rsidR="00633987" w:rsidRPr="00633987" w:rsidRDefault="00633987" w:rsidP="006339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23</w:t>
            </w:r>
          </w:p>
        </w:tc>
        <w:tc>
          <w:tcPr>
            <w:tcW w:w="1200" w:type="dxa"/>
            <w:noWrap/>
            <w:hideMark/>
          </w:tcPr>
          <w:p w:rsidR="00633987" w:rsidRPr="00633987" w:rsidRDefault="00633987" w:rsidP="006339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129</w:t>
            </w:r>
          </w:p>
        </w:tc>
      </w:tr>
      <w:tr w:rsidR="00633987" w:rsidRPr="00633987" w:rsidTr="00303F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tcBorders>
              <w:left w:val="none" w:sz="0" w:space="0" w:color="auto"/>
              <w:right w:val="none" w:sz="0" w:space="0" w:color="auto"/>
            </w:tcBorders>
            <w:noWrap/>
            <w:hideMark/>
          </w:tcPr>
          <w:p w:rsidR="00633987" w:rsidRPr="00633987" w:rsidRDefault="00633987" w:rsidP="00633987">
            <w:pPr>
              <w:jc w:val="center"/>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Modalidad</w:t>
            </w:r>
            <w:r w:rsidR="00806E26">
              <w:rPr>
                <w:rFonts w:ascii="Calibri" w:eastAsia="Times New Roman" w:hAnsi="Calibri" w:cs="Times New Roman"/>
                <w:color w:val="000000"/>
                <w:lang w:eastAsia="es-CL"/>
              </w:rPr>
              <w:t xml:space="preserve"> Total</w:t>
            </w:r>
          </w:p>
        </w:tc>
        <w:tc>
          <w:tcPr>
            <w:tcW w:w="154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116</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20</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22</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52</w:t>
            </w:r>
          </w:p>
        </w:tc>
        <w:tc>
          <w:tcPr>
            <w:tcW w:w="1200" w:type="dxa"/>
            <w:tcBorders>
              <w:left w:val="none" w:sz="0" w:space="0" w:color="auto"/>
              <w:right w:val="none" w:sz="0" w:space="0" w:color="auto"/>
            </w:tcBorders>
            <w:noWrap/>
            <w:hideMark/>
          </w:tcPr>
          <w:p w:rsidR="00633987" w:rsidRPr="00633987" w:rsidRDefault="00633987" w:rsidP="0063398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633987">
              <w:rPr>
                <w:rFonts w:ascii="Calibri" w:eastAsia="Times New Roman" w:hAnsi="Calibri" w:cs="Times New Roman"/>
                <w:color w:val="000000"/>
                <w:lang w:eastAsia="es-CL"/>
              </w:rPr>
              <w:t>210</w:t>
            </w:r>
          </w:p>
        </w:tc>
      </w:tr>
    </w:tbl>
    <w:p w:rsidR="00E94A87" w:rsidRDefault="00E94A87">
      <w:r>
        <w:t xml:space="preserve"> </w:t>
      </w:r>
    </w:p>
    <w:p w:rsidR="00E94A87" w:rsidRDefault="00806E26" w:rsidP="00806E26">
      <w:pPr>
        <w:jc w:val="center"/>
      </w:pPr>
      <w:r>
        <w:rPr>
          <w:noProof/>
          <w:lang w:eastAsia="es-CL"/>
        </w:rPr>
        <w:drawing>
          <wp:inline distT="0" distB="0" distL="0" distR="0" wp14:anchorId="39E8AC7B" wp14:editId="2B270DE2">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06E26" w:rsidRDefault="00806E26" w:rsidP="00806E26">
      <w:r>
        <w:t xml:space="preserve">*Según la tabla, se puede deducir que la modalidad continua es la que presenta un mayor ingreso de postulaciones entorno a  Equipamiento, Extensión y Formación, mientras que Producción presenta un nivel mayor  en la modalidad inédita. </w:t>
      </w:r>
    </w:p>
    <w:p w:rsidR="00E94A87" w:rsidRDefault="00E94A87"/>
    <w:p w:rsidR="00806E26" w:rsidRDefault="00806E26"/>
    <w:p w:rsidR="00806E26" w:rsidRDefault="00806E26"/>
    <w:p w:rsidR="00E94A87" w:rsidRPr="006F4CE3" w:rsidRDefault="00E94A87" w:rsidP="003F33A9">
      <w:pPr>
        <w:jc w:val="center"/>
        <w:rPr>
          <w:u w:val="single"/>
        </w:rPr>
      </w:pPr>
      <w:r w:rsidRPr="006F4CE3">
        <w:rPr>
          <w:u w:val="single"/>
        </w:rPr>
        <w:t>Distribución Regional del Fondo</w:t>
      </w:r>
    </w:p>
    <w:p w:rsidR="00E94A87" w:rsidRDefault="003F33A9">
      <w:r>
        <w:rPr>
          <w:noProof/>
          <w:lang w:eastAsia="es-CL"/>
        </w:rPr>
        <w:drawing>
          <wp:inline distT="0" distB="0" distL="0" distR="0" wp14:anchorId="7544EEFD" wp14:editId="14604771">
            <wp:extent cx="45720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Sombreadoclaro-nfasis5"/>
        <w:tblW w:w="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90"/>
      </w:tblGrid>
      <w:tr w:rsidR="003F33A9" w:rsidRPr="003F33A9" w:rsidTr="00301D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top w:val="none" w:sz="0" w:space="0" w:color="auto"/>
              <w:left w:val="none" w:sz="0" w:space="0" w:color="auto"/>
              <w:bottom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Regiones</w:t>
            </w:r>
          </w:p>
        </w:tc>
        <w:tc>
          <w:tcPr>
            <w:tcW w:w="1200" w:type="dxa"/>
            <w:tcBorders>
              <w:top w:val="none" w:sz="0" w:space="0" w:color="auto"/>
              <w:left w:val="none" w:sz="0" w:space="0" w:color="auto"/>
              <w:bottom w:val="none" w:sz="0" w:space="0" w:color="auto"/>
              <w:right w:val="none" w:sz="0" w:space="0" w:color="auto"/>
            </w:tcBorders>
            <w:noWrap/>
            <w:hideMark/>
          </w:tcPr>
          <w:p w:rsidR="003F33A9" w:rsidRPr="003F33A9" w:rsidRDefault="003F33A9" w:rsidP="003F33A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N° de postulantes</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 xml:space="preserve">Arica y </w:t>
            </w:r>
            <w:proofErr w:type="spellStart"/>
            <w:r w:rsidRPr="003F33A9">
              <w:rPr>
                <w:rFonts w:ascii="Calibri" w:eastAsia="Times New Roman" w:hAnsi="Calibri" w:cs="Times New Roman"/>
                <w:b w:val="0"/>
                <w:color w:val="000000"/>
                <w:lang w:eastAsia="es-CL"/>
              </w:rPr>
              <w:t>Parinacota</w:t>
            </w:r>
            <w:proofErr w:type="spellEnd"/>
            <w:r w:rsidRPr="003F33A9">
              <w:rPr>
                <w:rFonts w:ascii="Calibri" w:eastAsia="Times New Roman" w:hAnsi="Calibri" w:cs="Times New Roman"/>
                <w:b w:val="0"/>
                <w:color w:val="000000"/>
                <w:lang w:eastAsia="es-CL"/>
              </w:rPr>
              <w:t xml:space="preserve"> </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4</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Tarapacá</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7</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Antofagasta</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3</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Atacama</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4</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Coquimbo</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7</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Valparaíso</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29</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 xml:space="preserve">Metropolitana </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48</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O´Higgins</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15</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Maule</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6</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Biobío</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25</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Araucanía</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20</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Los Lagos</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25</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Los Ríos</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7</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 xml:space="preserve">Aysén </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3</w:t>
            </w:r>
          </w:p>
        </w:tc>
      </w:tr>
      <w:tr w:rsidR="003F33A9" w:rsidRPr="003F33A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60" w:type="dxa"/>
            <w:tcBorders>
              <w:left w:val="none" w:sz="0" w:space="0" w:color="auto"/>
              <w:right w:val="none" w:sz="0" w:space="0" w:color="auto"/>
            </w:tcBorders>
            <w:noWrap/>
            <w:hideMark/>
          </w:tcPr>
          <w:p w:rsidR="003F33A9" w:rsidRPr="003F33A9" w:rsidRDefault="003F33A9" w:rsidP="003F33A9">
            <w:pPr>
              <w:jc w:val="center"/>
              <w:rPr>
                <w:rFonts w:ascii="Calibri" w:eastAsia="Times New Roman" w:hAnsi="Calibri" w:cs="Times New Roman"/>
                <w:b w:val="0"/>
                <w:color w:val="000000"/>
                <w:lang w:eastAsia="es-CL"/>
              </w:rPr>
            </w:pPr>
            <w:r w:rsidRPr="003F33A9">
              <w:rPr>
                <w:rFonts w:ascii="Calibri" w:eastAsia="Times New Roman" w:hAnsi="Calibri" w:cs="Times New Roman"/>
                <w:b w:val="0"/>
                <w:color w:val="000000"/>
                <w:lang w:eastAsia="es-CL"/>
              </w:rPr>
              <w:t xml:space="preserve">Magallanes </w:t>
            </w:r>
          </w:p>
        </w:tc>
        <w:tc>
          <w:tcPr>
            <w:tcW w:w="1200" w:type="dxa"/>
            <w:tcBorders>
              <w:left w:val="none" w:sz="0" w:space="0" w:color="auto"/>
              <w:right w:val="none" w:sz="0" w:space="0" w:color="auto"/>
            </w:tcBorders>
            <w:noWrap/>
            <w:hideMark/>
          </w:tcPr>
          <w:p w:rsidR="003F33A9" w:rsidRPr="003F33A9" w:rsidRDefault="003F33A9" w:rsidP="003F33A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F33A9">
              <w:rPr>
                <w:rFonts w:ascii="Calibri" w:eastAsia="Times New Roman" w:hAnsi="Calibri" w:cs="Times New Roman"/>
                <w:color w:val="000000"/>
                <w:lang w:eastAsia="es-CL"/>
              </w:rPr>
              <w:t>7</w:t>
            </w:r>
          </w:p>
        </w:tc>
      </w:tr>
      <w:tr w:rsidR="003F33A9" w:rsidRPr="003F33A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60" w:type="dxa"/>
            <w:noWrap/>
            <w:hideMark/>
          </w:tcPr>
          <w:p w:rsidR="003F33A9" w:rsidRPr="003F33A9" w:rsidRDefault="003F33A9" w:rsidP="003F33A9">
            <w:pPr>
              <w:jc w:val="center"/>
              <w:rPr>
                <w:rFonts w:ascii="Calibri" w:eastAsia="Times New Roman" w:hAnsi="Calibri" w:cs="Times New Roman"/>
                <w:color w:val="000000"/>
                <w:u w:val="single"/>
                <w:lang w:eastAsia="es-CL"/>
              </w:rPr>
            </w:pPr>
            <w:r w:rsidRPr="003F33A9">
              <w:rPr>
                <w:rFonts w:ascii="Calibri" w:eastAsia="Times New Roman" w:hAnsi="Calibri" w:cs="Times New Roman"/>
                <w:color w:val="000000"/>
                <w:u w:val="single"/>
                <w:lang w:eastAsia="es-CL"/>
              </w:rPr>
              <w:t>Total proyectos</w:t>
            </w:r>
          </w:p>
        </w:tc>
        <w:tc>
          <w:tcPr>
            <w:tcW w:w="1200" w:type="dxa"/>
            <w:noWrap/>
            <w:hideMark/>
          </w:tcPr>
          <w:p w:rsidR="003F33A9" w:rsidRPr="003F33A9" w:rsidRDefault="003F33A9" w:rsidP="003F33A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u w:val="single"/>
                <w:lang w:eastAsia="es-CL"/>
              </w:rPr>
            </w:pPr>
            <w:r w:rsidRPr="003F33A9">
              <w:rPr>
                <w:rFonts w:ascii="Calibri" w:eastAsia="Times New Roman" w:hAnsi="Calibri" w:cs="Times New Roman"/>
                <w:b/>
                <w:bCs/>
                <w:color w:val="000000"/>
                <w:u w:val="single"/>
                <w:lang w:eastAsia="es-CL"/>
              </w:rPr>
              <w:t>210</w:t>
            </w:r>
          </w:p>
        </w:tc>
      </w:tr>
    </w:tbl>
    <w:p w:rsidR="003F33A9" w:rsidRDefault="003F33A9" w:rsidP="003F33A9">
      <w:pPr>
        <w:jc w:val="center"/>
      </w:pPr>
    </w:p>
    <w:p w:rsidR="003F33A9" w:rsidRDefault="003F33A9">
      <w:r>
        <w:lastRenderedPageBreak/>
        <w:t>*En</w:t>
      </w:r>
      <w:r w:rsidR="00400550">
        <w:t xml:space="preserve"> esta </w:t>
      </w:r>
      <w:r>
        <w:t xml:space="preserve"> tabla /grafico se refleja </w:t>
      </w:r>
      <w:r w:rsidR="00400550">
        <w:t xml:space="preserve"> una acumulación mayor de postulante en la zona centro. Se observa que la zona sur presenta una cantidad importante de postulantes, mientras que en la zona norte </w:t>
      </w:r>
      <w:r w:rsidR="0070742F">
        <w:t>presenta</w:t>
      </w:r>
      <w:r w:rsidR="00400550">
        <w:t xml:space="preserve"> una baja participación al fondo.</w:t>
      </w:r>
    </w:p>
    <w:p w:rsidR="003F33A9" w:rsidRDefault="003F33A9" w:rsidP="00400550">
      <w:pPr>
        <w:jc w:val="center"/>
      </w:pPr>
    </w:p>
    <w:p w:rsidR="00E94A87" w:rsidRPr="006F4CE3" w:rsidRDefault="00E94A87" w:rsidP="00400550">
      <w:pPr>
        <w:jc w:val="center"/>
        <w:rPr>
          <w:u w:val="single"/>
        </w:rPr>
      </w:pPr>
      <w:r w:rsidRPr="006F4CE3">
        <w:rPr>
          <w:u w:val="single"/>
        </w:rPr>
        <w:t>N</w:t>
      </w:r>
      <w:r w:rsidR="00400550" w:rsidRPr="006F4CE3">
        <w:rPr>
          <w:u w:val="single"/>
        </w:rPr>
        <w:t>úmero</w:t>
      </w:r>
      <w:r w:rsidRPr="006F4CE3">
        <w:rPr>
          <w:u w:val="single"/>
        </w:rPr>
        <w:t xml:space="preserve"> de proyectos adjudicados por categoría.</w:t>
      </w:r>
    </w:p>
    <w:tbl>
      <w:tblPr>
        <w:tblStyle w:val="Sombreadoclaro-nfasis5"/>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200"/>
        <w:gridCol w:w="1200"/>
        <w:gridCol w:w="1200"/>
      </w:tblGrid>
      <w:tr w:rsidR="00E94A87" w:rsidRPr="00E94A87" w:rsidTr="00301D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400550">
            <w:pPr>
              <w:jc w:val="center"/>
              <w:rPr>
                <w:rFonts w:ascii="Calibri" w:eastAsia="Times New Roman" w:hAnsi="Calibri" w:cs="Times New Roman"/>
                <w:color w:val="000000"/>
                <w:lang w:eastAsia="es-CL"/>
              </w:rPr>
            </w:pPr>
          </w:p>
        </w:tc>
        <w:tc>
          <w:tcPr>
            <w:tcW w:w="120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400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3FBE">
              <w:rPr>
                <w:rFonts w:ascii="Calibri" w:eastAsia="Times New Roman" w:hAnsi="Calibri" w:cs="Times New Roman"/>
                <w:bCs w:val="0"/>
                <w:color w:val="000000"/>
                <w:lang w:eastAsia="es-CL"/>
              </w:rPr>
              <w:t>Inéditas</w:t>
            </w:r>
          </w:p>
        </w:tc>
        <w:tc>
          <w:tcPr>
            <w:tcW w:w="1200" w:type="dxa"/>
            <w:tcBorders>
              <w:top w:val="none" w:sz="0" w:space="0" w:color="auto"/>
              <w:left w:val="none" w:sz="0" w:space="0" w:color="auto"/>
              <w:bottom w:val="none" w:sz="0" w:space="0" w:color="auto"/>
              <w:right w:val="none" w:sz="0" w:space="0" w:color="auto"/>
            </w:tcBorders>
            <w:noWrap/>
            <w:hideMark/>
          </w:tcPr>
          <w:p w:rsidR="00E94A87" w:rsidRPr="00E94A87" w:rsidRDefault="006A1809" w:rsidP="00400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3FBE">
              <w:rPr>
                <w:rFonts w:ascii="Calibri" w:eastAsia="Times New Roman" w:hAnsi="Calibri" w:cs="Times New Roman"/>
                <w:bCs w:val="0"/>
                <w:color w:val="000000"/>
                <w:lang w:eastAsia="es-CL"/>
              </w:rPr>
              <w:t>Continua</w:t>
            </w:r>
          </w:p>
        </w:tc>
        <w:tc>
          <w:tcPr>
            <w:tcW w:w="1200" w:type="dxa"/>
            <w:tcBorders>
              <w:top w:val="none" w:sz="0" w:space="0" w:color="auto"/>
              <w:left w:val="none" w:sz="0" w:space="0" w:color="auto"/>
              <w:bottom w:val="none" w:sz="0" w:space="0" w:color="auto"/>
              <w:right w:val="none" w:sz="0" w:space="0" w:color="auto"/>
            </w:tcBorders>
            <w:noWrap/>
            <w:hideMark/>
          </w:tcPr>
          <w:p w:rsidR="00E94A87" w:rsidRPr="00E94A87" w:rsidRDefault="00E94A87" w:rsidP="004005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E94A87">
              <w:rPr>
                <w:rFonts w:ascii="Calibri" w:eastAsia="Times New Roman" w:hAnsi="Calibri" w:cs="Times New Roman"/>
                <w:color w:val="000000"/>
                <w:lang w:eastAsia="es-CL"/>
              </w:rPr>
              <w:t>Total</w:t>
            </w:r>
          </w:p>
        </w:tc>
      </w:tr>
      <w:tr w:rsidR="00E94A87" w:rsidRPr="00E94A87"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80" w:type="dxa"/>
            <w:tcBorders>
              <w:left w:val="none" w:sz="0" w:space="0" w:color="auto"/>
              <w:right w:val="none" w:sz="0" w:space="0" w:color="auto"/>
            </w:tcBorders>
            <w:noWrap/>
            <w:hideMark/>
          </w:tcPr>
          <w:p w:rsidR="00E94A87" w:rsidRPr="00E94A87" w:rsidRDefault="00400550" w:rsidP="00400550">
            <w:pPr>
              <w:jc w:val="center"/>
              <w:rPr>
                <w:rFonts w:ascii="Calibri" w:eastAsia="Times New Roman" w:hAnsi="Calibri" w:cs="Times New Roman"/>
                <w:color w:val="000000"/>
                <w:lang w:eastAsia="es-CL"/>
              </w:rPr>
            </w:pPr>
            <w:r w:rsidRPr="00303FBE">
              <w:rPr>
                <w:rFonts w:ascii="Calibri" w:eastAsia="Times New Roman" w:hAnsi="Calibri" w:cs="Times New Roman"/>
                <w:bCs w:val="0"/>
                <w:color w:val="000000"/>
                <w:lang w:eastAsia="es-CL"/>
              </w:rPr>
              <w:t>N° proyecto adjudicados</w:t>
            </w:r>
          </w:p>
        </w:tc>
        <w:tc>
          <w:tcPr>
            <w:tcW w:w="1200" w:type="dxa"/>
            <w:tcBorders>
              <w:left w:val="none" w:sz="0" w:space="0" w:color="auto"/>
              <w:right w:val="none" w:sz="0" w:space="0" w:color="auto"/>
            </w:tcBorders>
            <w:noWrap/>
            <w:hideMark/>
          </w:tcPr>
          <w:p w:rsidR="00E94A87" w:rsidRPr="00E94A87" w:rsidRDefault="006A1809" w:rsidP="00400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17</w:t>
            </w:r>
          </w:p>
        </w:tc>
        <w:tc>
          <w:tcPr>
            <w:tcW w:w="1200" w:type="dxa"/>
            <w:tcBorders>
              <w:left w:val="none" w:sz="0" w:space="0" w:color="auto"/>
              <w:right w:val="none" w:sz="0" w:space="0" w:color="auto"/>
            </w:tcBorders>
            <w:noWrap/>
            <w:hideMark/>
          </w:tcPr>
          <w:p w:rsidR="00E94A87" w:rsidRPr="00E94A87" w:rsidRDefault="00E94A87" w:rsidP="00400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E94A87">
              <w:rPr>
                <w:rFonts w:ascii="Calibri" w:eastAsia="Times New Roman" w:hAnsi="Calibri" w:cs="Times New Roman"/>
                <w:color w:val="000000"/>
                <w:lang w:eastAsia="es-CL"/>
              </w:rPr>
              <w:t>25</w:t>
            </w:r>
          </w:p>
        </w:tc>
        <w:tc>
          <w:tcPr>
            <w:tcW w:w="1200" w:type="dxa"/>
            <w:tcBorders>
              <w:left w:val="none" w:sz="0" w:space="0" w:color="auto"/>
              <w:right w:val="none" w:sz="0" w:space="0" w:color="auto"/>
            </w:tcBorders>
            <w:noWrap/>
            <w:hideMark/>
          </w:tcPr>
          <w:p w:rsidR="00E94A87" w:rsidRPr="00E94A87" w:rsidRDefault="006A1809" w:rsidP="0040055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Pr>
                <w:rFonts w:ascii="Calibri" w:eastAsia="Times New Roman" w:hAnsi="Calibri" w:cs="Times New Roman"/>
                <w:color w:val="000000"/>
                <w:lang w:eastAsia="es-CL"/>
              </w:rPr>
              <w:t>42</w:t>
            </w:r>
          </w:p>
        </w:tc>
      </w:tr>
      <w:tr w:rsidR="00E94A87" w:rsidRPr="00E94A87"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780" w:type="dxa"/>
            <w:noWrap/>
          </w:tcPr>
          <w:p w:rsidR="00E94A87" w:rsidRPr="00E94A87" w:rsidRDefault="00E94A87" w:rsidP="00E94A87">
            <w:pPr>
              <w:rPr>
                <w:rFonts w:ascii="Calibri" w:eastAsia="Times New Roman" w:hAnsi="Calibri" w:cs="Times New Roman"/>
                <w:b w:val="0"/>
                <w:bCs w:val="0"/>
                <w:color w:val="000000"/>
                <w:lang w:eastAsia="es-CL"/>
              </w:rPr>
            </w:pPr>
          </w:p>
        </w:tc>
        <w:tc>
          <w:tcPr>
            <w:tcW w:w="1200" w:type="dxa"/>
            <w:noWrap/>
          </w:tcPr>
          <w:p w:rsidR="00E94A87" w:rsidRPr="00E94A87" w:rsidRDefault="00E94A87" w:rsidP="00E94A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1200" w:type="dxa"/>
            <w:noWrap/>
          </w:tcPr>
          <w:p w:rsidR="00E94A87" w:rsidRPr="00E94A87" w:rsidRDefault="00E94A87" w:rsidP="00E94A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c>
          <w:tcPr>
            <w:tcW w:w="1200" w:type="dxa"/>
            <w:noWrap/>
          </w:tcPr>
          <w:p w:rsidR="00E94A87" w:rsidRPr="00E94A87" w:rsidRDefault="00E94A87" w:rsidP="00E94A8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p>
        </w:tc>
      </w:tr>
    </w:tbl>
    <w:p w:rsidR="00E94A87" w:rsidRDefault="00E94A87"/>
    <w:p w:rsidR="00F96E6F" w:rsidRDefault="006A1809">
      <w:r>
        <w:t xml:space="preserve">*De los 42 proyectos adjudicados, se observa que la modalidad continua tiene mayor </w:t>
      </w:r>
      <w:r w:rsidR="00F96E6F">
        <w:t>interés.</w:t>
      </w:r>
    </w:p>
    <w:p w:rsidR="00303FBE" w:rsidRDefault="00303FBE" w:rsidP="003A6189">
      <w:pPr>
        <w:jc w:val="center"/>
      </w:pPr>
    </w:p>
    <w:p w:rsidR="00E94A87" w:rsidRPr="006F4CE3" w:rsidRDefault="00215FF4" w:rsidP="003A6189">
      <w:pPr>
        <w:jc w:val="center"/>
        <w:rPr>
          <w:u w:val="single"/>
        </w:rPr>
      </w:pPr>
      <w:r w:rsidRPr="006F4CE3">
        <w:rPr>
          <w:u w:val="single"/>
        </w:rPr>
        <w:t>Número</w:t>
      </w:r>
      <w:r w:rsidR="00E94A87" w:rsidRPr="006F4CE3">
        <w:rPr>
          <w:u w:val="single"/>
        </w:rPr>
        <w:t xml:space="preserve"> de adjudicados por región.</w:t>
      </w:r>
    </w:p>
    <w:tbl>
      <w:tblPr>
        <w:tblStyle w:val="Sombreadoclaro-nfasis5"/>
        <w:tblW w:w="3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80"/>
      </w:tblGrid>
      <w:tr w:rsidR="00215FF4" w:rsidRPr="00215FF4" w:rsidTr="00301D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top w:val="none" w:sz="0" w:space="0" w:color="auto"/>
              <w:left w:val="none" w:sz="0" w:space="0" w:color="auto"/>
              <w:bottom w:val="none" w:sz="0" w:space="0" w:color="auto"/>
              <w:right w:val="none" w:sz="0" w:space="0" w:color="auto"/>
            </w:tcBorders>
            <w:noWrap/>
            <w:hideMark/>
          </w:tcPr>
          <w:p w:rsidR="00215FF4" w:rsidRPr="00215FF4" w:rsidRDefault="00215FF4" w:rsidP="00215FF4">
            <w:pPr>
              <w:jc w:val="center"/>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Región</w:t>
            </w:r>
          </w:p>
        </w:tc>
        <w:tc>
          <w:tcPr>
            <w:tcW w:w="1780" w:type="dxa"/>
            <w:tcBorders>
              <w:top w:val="none" w:sz="0" w:space="0" w:color="auto"/>
              <w:left w:val="none" w:sz="0" w:space="0" w:color="auto"/>
              <w:bottom w:val="none" w:sz="0" w:space="0" w:color="auto"/>
              <w:right w:val="none" w:sz="0" w:space="0" w:color="auto"/>
            </w:tcBorders>
            <w:noWrap/>
            <w:hideMark/>
          </w:tcPr>
          <w:p w:rsidR="00215FF4" w:rsidRPr="00215FF4" w:rsidRDefault="00215FF4" w:rsidP="00215F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N° de adjudicados</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 xml:space="preserve">Arica y </w:t>
            </w:r>
            <w:proofErr w:type="spellStart"/>
            <w:r w:rsidRPr="00215FF4">
              <w:rPr>
                <w:rFonts w:ascii="Calibri" w:eastAsia="Times New Roman" w:hAnsi="Calibri" w:cs="Times New Roman"/>
                <w:b w:val="0"/>
                <w:color w:val="000000"/>
                <w:lang w:eastAsia="es-CL"/>
              </w:rPr>
              <w:t>Parinacota</w:t>
            </w:r>
            <w:proofErr w:type="spellEnd"/>
            <w:r w:rsidRPr="00215FF4">
              <w:rPr>
                <w:rFonts w:ascii="Calibri" w:eastAsia="Times New Roman" w:hAnsi="Calibri" w:cs="Times New Roman"/>
                <w:b w:val="0"/>
                <w:color w:val="000000"/>
                <w:lang w:eastAsia="es-CL"/>
              </w:rPr>
              <w:t xml:space="preserve"> </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0</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Tarapacá</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0</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Antofagasta</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0</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Atacama</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0</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Coquimbo</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4</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Valparaíso</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3</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RM</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10</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O´Higgins</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3</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Maule</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1</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Biobío</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5</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Araucanía</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6</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Los Lagos</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6</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Los Ríos</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1</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 xml:space="preserve">Aysén </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2</w:t>
            </w:r>
          </w:p>
        </w:tc>
      </w:tr>
      <w:tr w:rsidR="00215FF4" w:rsidRPr="00215FF4"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38" w:type="dxa"/>
            <w:tcBorders>
              <w:left w:val="none" w:sz="0" w:space="0" w:color="auto"/>
              <w:right w:val="none" w:sz="0" w:space="0" w:color="auto"/>
            </w:tcBorders>
            <w:noWrap/>
            <w:hideMark/>
          </w:tcPr>
          <w:p w:rsidR="00215FF4" w:rsidRPr="00215FF4" w:rsidRDefault="00215FF4" w:rsidP="00215FF4">
            <w:pPr>
              <w:rPr>
                <w:rFonts w:ascii="Calibri" w:eastAsia="Times New Roman" w:hAnsi="Calibri" w:cs="Times New Roman"/>
                <w:b w:val="0"/>
                <w:color w:val="000000"/>
                <w:lang w:eastAsia="es-CL"/>
              </w:rPr>
            </w:pPr>
            <w:r w:rsidRPr="00215FF4">
              <w:rPr>
                <w:rFonts w:ascii="Calibri" w:eastAsia="Times New Roman" w:hAnsi="Calibri" w:cs="Times New Roman"/>
                <w:b w:val="0"/>
                <w:color w:val="000000"/>
                <w:lang w:eastAsia="es-CL"/>
              </w:rPr>
              <w:t xml:space="preserve">Magallanes </w:t>
            </w:r>
          </w:p>
        </w:tc>
        <w:tc>
          <w:tcPr>
            <w:tcW w:w="1780" w:type="dxa"/>
            <w:tcBorders>
              <w:left w:val="none" w:sz="0" w:space="0" w:color="auto"/>
              <w:right w:val="none" w:sz="0" w:space="0" w:color="auto"/>
            </w:tcBorders>
            <w:noWrap/>
            <w:hideMark/>
          </w:tcPr>
          <w:p w:rsidR="00215FF4" w:rsidRPr="00215FF4" w:rsidRDefault="00215FF4" w:rsidP="00215FF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2</w:t>
            </w:r>
          </w:p>
        </w:tc>
      </w:tr>
      <w:tr w:rsidR="00215FF4" w:rsidRPr="00215FF4"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638" w:type="dxa"/>
            <w:noWrap/>
            <w:hideMark/>
          </w:tcPr>
          <w:p w:rsidR="00215FF4" w:rsidRPr="00215FF4" w:rsidRDefault="00215FF4" w:rsidP="00215FF4">
            <w:pPr>
              <w:rPr>
                <w:rFonts w:ascii="Calibri" w:eastAsia="Times New Roman" w:hAnsi="Calibri" w:cs="Times New Roman"/>
                <w:color w:val="000000"/>
                <w:lang w:eastAsia="es-CL"/>
              </w:rPr>
            </w:pPr>
            <w:r w:rsidRPr="00215FF4">
              <w:rPr>
                <w:rFonts w:ascii="Calibri" w:eastAsia="Times New Roman" w:hAnsi="Calibri" w:cs="Times New Roman"/>
                <w:color w:val="000000"/>
                <w:lang w:eastAsia="es-CL"/>
              </w:rPr>
              <w:t>Total</w:t>
            </w:r>
          </w:p>
        </w:tc>
        <w:tc>
          <w:tcPr>
            <w:tcW w:w="1780" w:type="dxa"/>
            <w:noWrap/>
            <w:hideMark/>
          </w:tcPr>
          <w:p w:rsidR="00215FF4" w:rsidRPr="00215FF4" w:rsidRDefault="00215FF4" w:rsidP="00215FF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es-CL"/>
              </w:rPr>
            </w:pPr>
            <w:r w:rsidRPr="00215FF4">
              <w:rPr>
                <w:rFonts w:ascii="Calibri" w:eastAsia="Times New Roman" w:hAnsi="Calibri" w:cs="Times New Roman"/>
                <w:b/>
                <w:bCs/>
                <w:color w:val="000000"/>
                <w:lang w:eastAsia="es-CL"/>
              </w:rPr>
              <w:t>43</w:t>
            </w:r>
          </w:p>
        </w:tc>
      </w:tr>
    </w:tbl>
    <w:p w:rsidR="00E94A87" w:rsidRDefault="003A6189" w:rsidP="00215FF4">
      <w:pPr>
        <w:jc w:val="center"/>
      </w:pPr>
      <w:r>
        <w:rPr>
          <w:noProof/>
          <w:lang w:eastAsia="es-CL"/>
        </w:rPr>
        <w:lastRenderedPageBreak/>
        <w:drawing>
          <wp:inline distT="0" distB="0" distL="0" distR="0" wp14:anchorId="5ECDD09F" wp14:editId="7C1EE52C">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5FF4" w:rsidRDefault="00215FF4" w:rsidP="00215FF4">
      <w:r>
        <w:t>*La grafica presenta que la mayor cantidad de proyectos adjudicados se encuentra dentro de la zona centro, siendo la Región Metropolitana la región con mayor adjudicación de fondos. En la zona sur se observa un número importante de proyectos ganados, mientras que en la zona norte no existe ninguna adjudicación.</w:t>
      </w:r>
    </w:p>
    <w:p w:rsidR="00050376" w:rsidRDefault="0030257D" w:rsidP="0030257D">
      <w:pPr>
        <w:jc w:val="center"/>
        <w:rPr>
          <w:u w:val="single"/>
        </w:rPr>
      </w:pPr>
      <w:r w:rsidRPr="0030257D">
        <w:rPr>
          <w:u w:val="single"/>
        </w:rPr>
        <w:t>Fondos adjudicados según  modalidad.</w:t>
      </w:r>
    </w:p>
    <w:tbl>
      <w:tblPr>
        <w:tblStyle w:val="Sombreadoclaro-nfasis5"/>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0"/>
        <w:gridCol w:w="1200"/>
        <w:gridCol w:w="1497"/>
        <w:gridCol w:w="1200"/>
        <w:gridCol w:w="1780"/>
      </w:tblGrid>
      <w:tr w:rsidR="0030257D" w:rsidRPr="0030257D" w:rsidTr="00D638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 </w:t>
            </w:r>
          </w:p>
        </w:tc>
        <w:tc>
          <w:tcPr>
            <w:tcW w:w="178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Producción</w:t>
            </w:r>
          </w:p>
        </w:tc>
        <w:tc>
          <w:tcPr>
            <w:tcW w:w="120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 xml:space="preserve">Extensión </w:t>
            </w:r>
          </w:p>
        </w:tc>
        <w:tc>
          <w:tcPr>
            <w:tcW w:w="142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Equipamiento</w:t>
            </w:r>
          </w:p>
        </w:tc>
        <w:tc>
          <w:tcPr>
            <w:tcW w:w="120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Formación</w:t>
            </w:r>
          </w:p>
        </w:tc>
        <w:tc>
          <w:tcPr>
            <w:tcW w:w="1780" w:type="dxa"/>
            <w:tcBorders>
              <w:top w:val="none" w:sz="0" w:space="0" w:color="auto"/>
              <w:left w:val="none" w:sz="0" w:space="0" w:color="auto"/>
              <w:bottom w:val="none" w:sz="0" w:space="0" w:color="auto"/>
              <w:right w:val="none" w:sz="0" w:space="0" w:color="auto"/>
            </w:tcBorders>
            <w:noWrap/>
            <w:hideMark/>
          </w:tcPr>
          <w:p w:rsidR="0030257D" w:rsidRPr="0030257D" w:rsidRDefault="0030257D" w:rsidP="003025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Línea total</w:t>
            </w:r>
          </w:p>
        </w:tc>
      </w:tr>
      <w:tr w:rsidR="0030257D" w:rsidRPr="0030257D" w:rsidTr="00D638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tcBorders>
              <w:left w:val="none" w:sz="0" w:space="0" w:color="auto"/>
              <w:right w:val="none" w:sz="0" w:space="0" w:color="auto"/>
            </w:tcBorders>
            <w:noWrap/>
            <w:hideMark/>
          </w:tcPr>
          <w:p w:rsidR="0030257D" w:rsidRPr="0030257D" w:rsidRDefault="0030257D" w:rsidP="0030257D">
            <w:pPr>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 xml:space="preserve">Inédita </w:t>
            </w:r>
          </w:p>
        </w:tc>
        <w:tc>
          <w:tcPr>
            <w:tcW w:w="178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8</w:t>
            </w:r>
          </w:p>
        </w:tc>
        <w:tc>
          <w:tcPr>
            <w:tcW w:w="120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2</w:t>
            </w:r>
          </w:p>
        </w:tc>
        <w:tc>
          <w:tcPr>
            <w:tcW w:w="142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5</w:t>
            </w:r>
          </w:p>
        </w:tc>
        <w:tc>
          <w:tcPr>
            <w:tcW w:w="120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4</w:t>
            </w:r>
          </w:p>
        </w:tc>
        <w:tc>
          <w:tcPr>
            <w:tcW w:w="178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19</w:t>
            </w:r>
          </w:p>
        </w:tc>
      </w:tr>
      <w:tr w:rsidR="0030257D" w:rsidRPr="0030257D" w:rsidTr="00D638C9">
        <w:trPr>
          <w:trHeight w:val="300"/>
        </w:trPr>
        <w:tc>
          <w:tcPr>
            <w:cnfStyle w:val="001000000000" w:firstRow="0" w:lastRow="0" w:firstColumn="1" w:lastColumn="0" w:oddVBand="0" w:evenVBand="0" w:oddHBand="0" w:evenHBand="0" w:firstRowFirstColumn="0" w:firstRowLastColumn="0" w:lastRowFirstColumn="0" w:lastRowLastColumn="0"/>
            <w:tcW w:w="1780" w:type="dxa"/>
            <w:noWrap/>
            <w:hideMark/>
          </w:tcPr>
          <w:p w:rsidR="0030257D" w:rsidRPr="0030257D" w:rsidRDefault="0030257D" w:rsidP="0030257D">
            <w:pPr>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Continua</w:t>
            </w:r>
          </w:p>
        </w:tc>
        <w:tc>
          <w:tcPr>
            <w:tcW w:w="1780" w:type="dxa"/>
            <w:noWrap/>
            <w:hideMark/>
          </w:tcPr>
          <w:p w:rsidR="0030257D" w:rsidRPr="0030257D" w:rsidRDefault="0030257D" w:rsidP="003025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10</w:t>
            </w:r>
          </w:p>
        </w:tc>
        <w:tc>
          <w:tcPr>
            <w:tcW w:w="1200" w:type="dxa"/>
            <w:noWrap/>
            <w:hideMark/>
          </w:tcPr>
          <w:p w:rsidR="0030257D" w:rsidRPr="0030257D" w:rsidRDefault="0030257D" w:rsidP="003025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3</w:t>
            </w:r>
          </w:p>
        </w:tc>
        <w:tc>
          <w:tcPr>
            <w:tcW w:w="1420" w:type="dxa"/>
            <w:noWrap/>
            <w:hideMark/>
          </w:tcPr>
          <w:p w:rsidR="0030257D" w:rsidRPr="0030257D" w:rsidRDefault="0030257D" w:rsidP="003025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11</w:t>
            </w:r>
          </w:p>
        </w:tc>
        <w:tc>
          <w:tcPr>
            <w:tcW w:w="1200" w:type="dxa"/>
            <w:noWrap/>
            <w:hideMark/>
          </w:tcPr>
          <w:p w:rsidR="0030257D" w:rsidRPr="0030257D" w:rsidRDefault="0030257D" w:rsidP="003025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w:t>
            </w:r>
          </w:p>
        </w:tc>
        <w:tc>
          <w:tcPr>
            <w:tcW w:w="1780" w:type="dxa"/>
            <w:noWrap/>
            <w:hideMark/>
          </w:tcPr>
          <w:p w:rsidR="0030257D" w:rsidRPr="0030257D" w:rsidRDefault="0030257D" w:rsidP="003025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26</w:t>
            </w:r>
          </w:p>
        </w:tc>
      </w:tr>
      <w:tr w:rsidR="0030257D" w:rsidRPr="0030257D" w:rsidTr="00D638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0" w:type="dxa"/>
            <w:tcBorders>
              <w:left w:val="none" w:sz="0" w:space="0" w:color="auto"/>
              <w:right w:val="none" w:sz="0" w:space="0" w:color="auto"/>
            </w:tcBorders>
            <w:noWrap/>
            <w:hideMark/>
          </w:tcPr>
          <w:p w:rsidR="0030257D" w:rsidRPr="0030257D" w:rsidRDefault="0030257D" w:rsidP="0030257D">
            <w:pPr>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Modalidad Total</w:t>
            </w:r>
          </w:p>
        </w:tc>
        <w:tc>
          <w:tcPr>
            <w:tcW w:w="178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18</w:t>
            </w:r>
          </w:p>
        </w:tc>
        <w:tc>
          <w:tcPr>
            <w:tcW w:w="120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5</w:t>
            </w:r>
          </w:p>
        </w:tc>
        <w:tc>
          <w:tcPr>
            <w:tcW w:w="142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16</w:t>
            </w:r>
          </w:p>
        </w:tc>
        <w:tc>
          <w:tcPr>
            <w:tcW w:w="120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5</w:t>
            </w:r>
          </w:p>
        </w:tc>
        <w:tc>
          <w:tcPr>
            <w:tcW w:w="1780" w:type="dxa"/>
            <w:tcBorders>
              <w:left w:val="none" w:sz="0" w:space="0" w:color="auto"/>
              <w:right w:val="none" w:sz="0" w:space="0" w:color="auto"/>
            </w:tcBorders>
            <w:noWrap/>
            <w:hideMark/>
          </w:tcPr>
          <w:p w:rsidR="0030257D" w:rsidRPr="0030257D" w:rsidRDefault="0030257D" w:rsidP="003025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0257D">
              <w:rPr>
                <w:rFonts w:ascii="Calibri" w:eastAsia="Times New Roman" w:hAnsi="Calibri" w:cs="Times New Roman"/>
                <w:color w:val="000000"/>
                <w:lang w:eastAsia="es-CL"/>
              </w:rPr>
              <w:t>44</w:t>
            </w:r>
          </w:p>
        </w:tc>
      </w:tr>
    </w:tbl>
    <w:p w:rsidR="0030257D" w:rsidRPr="0030257D" w:rsidRDefault="0030257D" w:rsidP="0030257D">
      <w:pPr>
        <w:jc w:val="center"/>
        <w:rPr>
          <w:u w:val="single"/>
        </w:rPr>
      </w:pPr>
    </w:p>
    <w:p w:rsidR="009B45C3" w:rsidRDefault="0030257D" w:rsidP="009B45C3">
      <w:pPr>
        <w:jc w:val="center"/>
        <w:rPr>
          <w:u w:val="single"/>
        </w:rPr>
      </w:pPr>
      <w:r>
        <w:rPr>
          <w:noProof/>
          <w:lang w:eastAsia="es-CL"/>
        </w:rPr>
        <w:drawing>
          <wp:inline distT="0" distB="0" distL="0" distR="0" wp14:anchorId="11D90061" wp14:editId="3B32DDAA">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7AB6" w:rsidRPr="0030257D" w:rsidRDefault="0030257D" w:rsidP="0030257D">
      <w:r>
        <w:lastRenderedPageBreak/>
        <w:t xml:space="preserve">*La grafica muestra que existen variables dentro de las modalidades. </w:t>
      </w:r>
      <w:r w:rsidR="00547AB6">
        <w:t xml:space="preserve">En </w:t>
      </w:r>
      <w:r>
        <w:t>la categor</w:t>
      </w:r>
      <w:r w:rsidR="00547AB6">
        <w:t>ía continua esta presenta un mayor aumento en la modalidad de</w:t>
      </w:r>
      <w:r w:rsidR="00301DC6">
        <w:t xml:space="preserve"> Experimentación y P</w:t>
      </w:r>
      <w:r w:rsidR="00547AB6">
        <w:t>ro</w:t>
      </w:r>
      <w:r w:rsidR="00301DC6">
        <w:t xml:space="preserve">ducción, mientras que Extensión y Formación son los menos requeridos. </w:t>
      </w:r>
    </w:p>
    <w:p w:rsidR="009B45C3" w:rsidRPr="006F4CE3" w:rsidRDefault="009B45C3" w:rsidP="009B45C3">
      <w:pPr>
        <w:jc w:val="center"/>
        <w:rPr>
          <w:u w:val="single"/>
        </w:rPr>
      </w:pPr>
      <w:r w:rsidRPr="006F4CE3">
        <w:rPr>
          <w:u w:val="single"/>
        </w:rPr>
        <w:t>Numero de fondos inadmisibles según categoría.</w:t>
      </w:r>
    </w:p>
    <w:tbl>
      <w:tblPr>
        <w:tblStyle w:val="Sombreadoclaro-nfasis5"/>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200"/>
        <w:gridCol w:w="1200"/>
        <w:gridCol w:w="1200"/>
      </w:tblGrid>
      <w:tr w:rsidR="009B45C3" w:rsidRPr="009B45C3" w:rsidTr="00303FB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00" w:type="dxa"/>
            <w:tcBorders>
              <w:top w:val="none" w:sz="0" w:space="0" w:color="auto"/>
              <w:left w:val="none" w:sz="0" w:space="0" w:color="auto"/>
              <w:bottom w:val="none" w:sz="0" w:space="0" w:color="auto"/>
              <w:right w:val="none" w:sz="0" w:space="0" w:color="auto"/>
            </w:tcBorders>
            <w:noWrap/>
            <w:hideMark/>
          </w:tcPr>
          <w:p w:rsidR="009B45C3" w:rsidRPr="009B45C3" w:rsidRDefault="009B45C3" w:rsidP="009B45C3">
            <w:pPr>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 </w:t>
            </w:r>
          </w:p>
        </w:tc>
        <w:tc>
          <w:tcPr>
            <w:tcW w:w="1200" w:type="dxa"/>
            <w:tcBorders>
              <w:top w:val="none" w:sz="0" w:space="0" w:color="auto"/>
              <w:left w:val="none" w:sz="0" w:space="0" w:color="auto"/>
              <w:bottom w:val="none" w:sz="0" w:space="0" w:color="auto"/>
              <w:right w:val="none" w:sz="0" w:space="0" w:color="auto"/>
            </w:tcBorders>
            <w:noWrap/>
            <w:hideMark/>
          </w:tcPr>
          <w:p w:rsidR="009B45C3" w:rsidRPr="009B45C3" w:rsidRDefault="009B45C3" w:rsidP="009B45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6F4CE3">
              <w:rPr>
                <w:rFonts w:ascii="Calibri" w:eastAsia="Times New Roman" w:hAnsi="Calibri" w:cs="Times New Roman"/>
                <w:bCs w:val="0"/>
                <w:color w:val="000000"/>
                <w:lang w:eastAsia="es-CL"/>
              </w:rPr>
              <w:t>Inéditos</w:t>
            </w:r>
          </w:p>
        </w:tc>
        <w:tc>
          <w:tcPr>
            <w:tcW w:w="1200" w:type="dxa"/>
            <w:tcBorders>
              <w:top w:val="none" w:sz="0" w:space="0" w:color="auto"/>
              <w:left w:val="none" w:sz="0" w:space="0" w:color="auto"/>
              <w:bottom w:val="none" w:sz="0" w:space="0" w:color="auto"/>
              <w:right w:val="none" w:sz="0" w:space="0" w:color="auto"/>
            </w:tcBorders>
            <w:noWrap/>
            <w:hideMark/>
          </w:tcPr>
          <w:p w:rsidR="009B45C3" w:rsidRPr="009B45C3" w:rsidRDefault="009B45C3" w:rsidP="009B45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Continuos</w:t>
            </w:r>
          </w:p>
        </w:tc>
        <w:tc>
          <w:tcPr>
            <w:tcW w:w="1200" w:type="dxa"/>
            <w:tcBorders>
              <w:top w:val="none" w:sz="0" w:space="0" w:color="auto"/>
              <w:left w:val="none" w:sz="0" w:space="0" w:color="auto"/>
              <w:bottom w:val="none" w:sz="0" w:space="0" w:color="auto"/>
              <w:right w:val="none" w:sz="0" w:space="0" w:color="auto"/>
            </w:tcBorders>
            <w:noWrap/>
            <w:hideMark/>
          </w:tcPr>
          <w:p w:rsidR="009B45C3" w:rsidRPr="009B45C3" w:rsidRDefault="009B45C3" w:rsidP="009B45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Total</w:t>
            </w:r>
          </w:p>
        </w:tc>
      </w:tr>
      <w:tr w:rsidR="009B45C3" w:rsidRPr="009B45C3" w:rsidTr="00303F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00" w:type="dxa"/>
            <w:tcBorders>
              <w:left w:val="none" w:sz="0" w:space="0" w:color="auto"/>
              <w:right w:val="none" w:sz="0" w:space="0" w:color="auto"/>
            </w:tcBorders>
            <w:noWrap/>
            <w:hideMark/>
          </w:tcPr>
          <w:p w:rsidR="009B45C3" w:rsidRPr="009B45C3" w:rsidRDefault="009B45C3" w:rsidP="009B45C3">
            <w:pPr>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N° de proyectos Inadmisibles.</w:t>
            </w:r>
          </w:p>
        </w:tc>
        <w:tc>
          <w:tcPr>
            <w:tcW w:w="1200" w:type="dxa"/>
            <w:tcBorders>
              <w:left w:val="none" w:sz="0" w:space="0" w:color="auto"/>
              <w:right w:val="none" w:sz="0" w:space="0" w:color="auto"/>
            </w:tcBorders>
            <w:noWrap/>
            <w:hideMark/>
          </w:tcPr>
          <w:p w:rsidR="009B45C3" w:rsidRPr="009B45C3" w:rsidRDefault="009B45C3" w:rsidP="009B4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3</w:t>
            </w:r>
          </w:p>
        </w:tc>
        <w:tc>
          <w:tcPr>
            <w:tcW w:w="1200" w:type="dxa"/>
            <w:tcBorders>
              <w:left w:val="none" w:sz="0" w:space="0" w:color="auto"/>
              <w:right w:val="none" w:sz="0" w:space="0" w:color="auto"/>
            </w:tcBorders>
            <w:noWrap/>
            <w:hideMark/>
          </w:tcPr>
          <w:p w:rsidR="009B45C3" w:rsidRPr="009B45C3" w:rsidRDefault="009B45C3" w:rsidP="009B4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7</w:t>
            </w:r>
          </w:p>
        </w:tc>
        <w:tc>
          <w:tcPr>
            <w:tcW w:w="1200" w:type="dxa"/>
            <w:tcBorders>
              <w:left w:val="none" w:sz="0" w:space="0" w:color="auto"/>
              <w:right w:val="none" w:sz="0" w:space="0" w:color="auto"/>
            </w:tcBorders>
            <w:noWrap/>
            <w:hideMark/>
          </w:tcPr>
          <w:p w:rsidR="009B45C3" w:rsidRPr="009B45C3" w:rsidRDefault="009B45C3" w:rsidP="009B4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9B45C3">
              <w:rPr>
                <w:rFonts w:ascii="Calibri" w:eastAsia="Times New Roman" w:hAnsi="Calibri" w:cs="Times New Roman"/>
                <w:color w:val="000000"/>
                <w:lang w:eastAsia="es-CL"/>
              </w:rPr>
              <w:t>10</w:t>
            </w:r>
          </w:p>
        </w:tc>
      </w:tr>
    </w:tbl>
    <w:p w:rsidR="009B45C3" w:rsidRDefault="009B45C3" w:rsidP="009B45C3">
      <w:pPr>
        <w:jc w:val="center"/>
      </w:pPr>
    </w:p>
    <w:p w:rsidR="009B45C3" w:rsidRPr="006F4CE3" w:rsidRDefault="003A6189" w:rsidP="003A6189">
      <w:pPr>
        <w:jc w:val="center"/>
        <w:rPr>
          <w:u w:val="single"/>
        </w:rPr>
      </w:pPr>
      <w:r w:rsidRPr="006F4CE3">
        <w:rPr>
          <w:u w:val="single"/>
        </w:rPr>
        <w:t>Numero de  fondos Inadmisibles por región.</w:t>
      </w:r>
    </w:p>
    <w:tbl>
      <w:tblPr>
        <w:tblStyle w:val="Sombreadoclaro-nfasis5"/>
        <w:tblW w:w="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800"/>
      </w:tblGrid>
      <w:tr w:rsidR="003A6189" w:rsidRPr="003A6189" w:rsidTr="00301D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top w:val="none" w:sz="0" w:space="0" w:color="auto"/>
              <w:left w:val="none" w:sz="0" w:space="0" w:color="auto"/>
              <w:bottom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Región</w:t>
            </w:r>
          </w:p>
        </w:tc>
        <w:tc>
          <w:tcPr>
            <w:tcW w:w="2800" w:type="dxa"/>
            <w:tcBorders>
              <w:top w:val="none" w:sz="0" w:space="0" w:color="auto"/>
              <w:left w:val="none" w:sz="0" w:space="0" w:color="auto"/>
              <w:bottom w:val="none" w:sz="0" w:space="0" w:color="auto"/>
              <w:right w:val="none" w:sz="0" w:space="0" w:color="auto"/>
            </w:tcBorders>
            <w:noWrap/>
            <w:hideMark/>
          </w:tcPr>
          <w:p w:rsidR="003A6189" w:rsidRPr="003A6189" w:rsidRDefault="003A6189" w:rsidP="003A618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N° de inadmisibles</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 xml:space="preserve">Arica y </w:t>
            </w:r>
            <w:proofErr w:type="spellStart"/>
            <w:r w:rsidRPr="003A6189">
              <w:rPr>
                <w:rFonts w:ascii="Calibri" w:eastAsia="Times New Roman" w:hAnsi="Calibri" w:cs="Times New Roman"/>
                <w:b w:val="0"/>
                <w:color w:val="000000"/>
                <w:lang w:eastAsia="es-CL"/>
              </w:rPr>
              <w:t>Parinacota</w:t>
            </w:r>
            <w:proofErr w:type="spellEnd"/>
            <w:r w:rsidRPr="003A6189">
              <w:rPr>
                <w:rFonts w:ascii="Calibri" w:eastAsia="Times New Roman" w:hAnsi="Calibri" w:cs="Times New Roman"/>
                <w:b w:val="0"/>
                <w:color w:val="000000"/>
                <w:lang w:eastAsia="es-CL"/>
              </w:rPr>
              <w:t xml:space="preserve"> </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Tarapacá</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Antofagasta</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Atacama</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Coquimbo</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Valparaíso</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3</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RM</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2</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O´Higgins</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2</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Maule</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Biobío</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2</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Araucanía</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Los Lagos</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1</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Los Ríos</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 xml:space="preserve">Aysén </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00" w:type="dxa"/>
            <w:tcBorders>
              <w:left w:val="none" w:sz="0" w:space="0" w:color="auto"/>
              <w:right w:val="none" w:sz="0" w:space="0" w:color="auto"/>
            </w:tcBorders>
            <w:noWrap/>
            <w:hideMark/>
          </w:tcPr>
          <w:p w:rsidR="003A6189" w:rsidRPr="003A6189" w:rsidRDefault="003A6189" w:rsidP="003A6189">
            <w:pPr>
              <w:jc w:val="center"/>
              <w:rPr>
                <w:rFonts w:ascii="Calibri" w:eastAsia="Times New Roman" w:hAnsi="Calibri" w:cs="Times New Roman"/>
                <w:b w:val="0"/>
                <w:color w:val="000000"/>
                <w:lang w:eastAsia="es-CL"/>
              </w:rPr>
            </w:pPr>
            <w:r w:rsidRPr="003A6189">
              <w:rPr>
                <w:rFonts w:ascii="Calibri" w:eastAsia="Times New Roman" w:hAnsi="Calibri" w:cs="Times New Roman"/>
                <w:b w:val="0"/>
                <w:color w:val="000000"/>
                <w:lang w:eastAsia="es-CL"/>
              </w:rPr>
              <w:t xml:space="preserve">Magallanes </w:t>
            </w:r>
          </w:p>
        </w:tc>
        <w:tc>
          <w:tcPr>
            <w:tcW w:w="2800" w:type="dxa"/>
            <w:tcBorders>
              <w:left w:val="none" w:sz="0" w:space="0" w:color="auto"/>
              <w:right w:val="none" w:sz="0" w:space="0" w:color="auto"/>
            </w:tcBorders>
            <w:noWrap/>
            <w:hideMark/>
          </w:tcPr>
          <w:p w:rsidR="003A6189" w:rsidRPr="003A6189" w:rsidRDefault="003A6189" w:rsidP="003A61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0</w:t>
            </w:r>
          </w:p>
        </w:tc>
      </w:tr>
      <w:tr w:rsidR="003A6189" w:rsidRPr="003A6189" w:rsidTr="00301DC6">
        <w:trPr>
          <w:trHeight w:val="300"/>
          <w:jc w:val="center"/>
        </w:trPr>
        <w:tc>
          <w:tcPr>
            <w:cnfStyle w:val="001000000000" w:firstRow="0" w:lastRow="0" w:firstColumn="1" w:lastColumn="0" w:oddVBand="0" w:evenVBand="0" w:oddHBand="0" w:evenHBand="0" w:firstRowFirstColumn="0" w:firstRowLastColumn="0" w:lastRowFirstColumn="0" w:lastRowLastColumn="0"/>
            <w:tcW w:w="1900" w:type="dxa"/>
            <w:noWrap/>
            <w:hideMark/>
          </w:tcPr>
          <w:p w:rsidR="003A6189" w:rsidRPr="003A6189" w:rsidRDefault="003A6189" w:rsidP="003A6189">
            <w:pPr>
              <w:jc w:val="center"/>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Total</w:t>
            </w:r>
          </w:p>
        </w:tc>
        <w:tc>
          <w:tcPr>
            <w:tcW w:w="2800" w:type="dxa"/>
            <w:noWrap/>
            <w:hideMark/>
          </w:tcPr>
          <w:p w:rsidR="003A6189" w:rsidRPr="003A6189" w:rsidRDefault="003A6189" w:rsidP="003A61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3A6189">
              <w:rPr>
                <w:rFonts w:ascii="Calibri" w:eastAsia="Times New Roman" w:hAnsi="Calibri" w:cs="Times New Roman"/>
                <w:color w:val="000000"/>
                <w:lang w:eastAsia="es-CL"/>
              </w:rPr>
              <w:t>10</w:t>
            </w:r>
          </w:p>
        </w:tc>
      </w:tr>
    </w:tbl>
    <w:p w:rsidR="003A6189" w:rsidRDefault="003A6189" w:rsidP="009B45C3"/>
    <w:p w:rsidR="003A6189" w:rsidRDefault="003A6189" w:rsidP="003A6189">
      <w:pPr>
        <w:jc w:val="center"/>
      </w:pPr>
      <w:r>
        <w:rPr>
          <w:noProof/>
          <w:lang w:eastAsia="es-CL"/>
        </w:rPr>
        <w:lastRenderedPageBreak/>
        <w:drawing>
          <wp:inline distT="0" distB="0" distL="0" distR="0" wp14:anchorId="5AED106D" wp14:editId="21C30773">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6189" w:rsidRDefault="00303FBE" w:rsidP="00303FBE">
      <w:r>
        <w:t xml:space="preserve">*De un total de 10 fondos no adjudicados, la gráfica muestra que la mayor cantidad de proyectos inadmisibles corresponden a la Región de Valparaíso. Mientras que la Región Metropolitana, O´Higgins y Biobío presentan la misma cantidad de fondos no aceptados. </w:t>
      </w:r>
    </w:p>
    <w:p w:rsidR="006F4CE3" w:rsidRDefault="006F4CE3" w:rsidP="00303FBE"/>
    <w:p w:rsidR="006F4CE3" w:rsidRPr="00721441" w:rsidRDefault="006F4CE3" w:rsidP="006F4CE3">
      <w:pPr>
        <w:jc w:val="center"/>
        <w:rPr>
          <w:u w:val="single"/>
        </w:rPr>
      </w:pPr>
      <w:r w:rsidRPr="00721441">
        <w:rPr>
          <w:u w:val="single"/>
        </w:rPr>
        <w:t>Numero de fondos en lista de espera según categoría</w:t>
      </w:r>
    </w:p>
    <w:tbl>
      <w:tblPr>
        <w:tblStyle w:val="Sombreadoclaro-nfasis5"/>
        <w:tblW w:w="7000" w:type="dxa"/>
        <w:jc w:val="center"/>
        <w:tblLook w:val="04A0" w:firstRow="1" w:lastRow="0" w:firstColumn="1" w:lastColumn="0" w:noHBand="0" w:noVBand="1"/>
      </w:tblPr>
      <w:tblGrid>
        <w:gridCol w:w="2040"/>
        <w:gridCol w:w="1944"/>
        <w:gridCol w:w="1816"/>
        <w:gridCol w:w="1200"/>
      </w:tblGrid>
      <w:tr w:rsidR="00721441" w:rsidRPr="00721441" w:rsidTr="0072144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 </w:t>
            </w:r>
          </w:p>
        </w:tc>
        <w:tc>
          <w:tcPr>
            <w:tcW w:w="1944" w:type="dxa"/>
            <w:noWrap/>
            <w:hideMark/>
          </w:tcPr>
          <w:p w:rsidR="00721441" w:rsidRPr="00721441" w:rsidRDefault="00721441" w:rsidP="007214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bCs w:val="0"/>
                <w:color w:val="000000"/>
                <w:lang w:eastAsia="es-CL"/>
              </w:rPr>
              <w:t>Inéditas</w:t>
            </w:r>
          </w:p>
        </w:tc>
        <w:tc>
          <w:tcPr>
            <w:tcW w:w="1816" w:type="dxa"/>
            <w:noWrap/>
            <w:hideMark/>
          </w:tcPr>
          <w:p w:rsidR="00721441" w:rsidRPr="00721441" w:rsidRDefault="00721441" w:rsidP="007214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Continua</w:t>
            </w:r>
          </w:p>
        </w:tc>
        <w:tc>
          <w:tcPr>
            <w:tcW w:w="1200" w:type="dxa"/>
            <w:noWrap/>
            <w:hideMark/>
          </w:tcPr>
          <w:p w:rsidR="00721441" w:rsidRPr="00721441" w:rsidRDefault="00721441" w:rsidP="0072144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Total</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N° lista de espera</w:t>
            </w:r>
          </w:p>
        </w:tc>
        <w:tc>
          <w:tcPr>
            <w:tcW w:w="1944"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2</w:t>
            </w:r>
          </w:p>
        </w:tc>
        <w:tc>
          <w:tcPr>
            <w:tcW w:w="1816"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8</w:t>
            </w:r>
          </w:p>
        </w:tc>
        <w:tc>
          <w:tcPr>
            <w:tcW w:w="120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10</w:t>
            </w:r>
          </w:p>
        </w:tc>
      </w:tr>
    </w:tbl>
    <w:p w:rsidR="006F4CE3" w:rsidRDefault="006F4CE3" w:rsidP="00303FBE"/>
    <w:p w:rsidR="00721441" w:rsidRPr="00721441" w:rsidRDefault="00721441" w:rsidP="00721441">
      <w:pPr>
        <w:jc w:val="center"/>
        <w:rPr>
          <w:u w:val="single"/>
        </w:rPr>
      </w:pPr>
      <w:r w:rsidRPr="00721441">
        <w:rPr>
          <w:u w:val="single"/>
        </w:rPr>
        <w:t>Numero de fondos en lista de espera dado en regiones</w:t>
      </w:r>
    </w:p>
    <w:tbl>
      <w:tblPr>
        <w:tblStyle w:val="Sombreadoclaro-nfasis5"/>
        <w:tblW w:w="4600" w:type="dxa"/>
        <w:jc w:val="center"/>
        <w:tblLook w:val="04A0" w:firstRow="1" w:lastRow="0" w:firstColumn="1" w:lastColumn="0" w:noHBand="0" w:noVBand="1"/>
      </w:tblPr>
      <w:tblGrid>
        <w:gridCol w:w="2040"/>
        <w:gridCol w:w="2560"/>
      </w:tblGrid>
      <w:tr w:rsidR="00721441" w:rsidRPr="00721441" w:rsidTr="0072144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Región</w:t>
            </w:r>
          </w:p>
        </w:tc>
        <w:tc>
          <w:tcPr>
            <w:tcW w:w="2560" w:type="dxa"/>
            <w:noWrap/>
            <w:hideMark/>
          </w:tcPr>
          <w:p w:rsidR="00721441" w:rsidRPr="00721441" w:rsidRDefault="00721441" w:rsidP="007214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Fondos en lista de espera</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 xml:space="preserve">Arica y </w:t>
            </w:r>
            <w:proofErr w:type="spellStart"/>
            <w:r w:rsidRPr="00721441">
              <w:rPr>
                <w:rFonts w:ascii="Calibri" w:eastAsia="Times New Roman" w:hAnsi="Calibri" w:cs="Times New Roman"/>
                <w:b w:val="0"/>
                <w:color w:val="000000"/>
                <w:lang w:eastAsia="es-CL"/>
              </w:rPr>
              <w:t>Parinacota</w:t>
            </w:r>
            <w:proofErr w:type="spellEnd"/>
            <w:r w:rsidRPr="00721441">
              <w:rPr>
                <w:rFonts w:ascii="Calibri" w:eastAsia="Times New Roman" w:hAnsi="Calibri" w:cs="Times New Roman"/>
                <w:b w:val="0"/>
                <w:color w:val="000000"/>
                <w:lang w:eastAsia="es-CL"/>
              </w:rPr>
              <w:t xml:space="preserve"> </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Tarapacá</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Antofagasta</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Atacama</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Coquimbo</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Valparaíso</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3</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RM</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O´Higgins</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Maule</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Biobío</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3</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Araucanía</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Los Lagos</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Los Ríos</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t xml:space="preserve">Aysén </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b w:val="0"/>
                <w:color w:val="000000"/>
                <w:lang w:eastAsia="es-CL"/>
              </w:rPr>
            </w:pPr>
            <w:r w:rsidRPr="00721441">
              <w:rPr>
                <w:rFonts w:ascii="Calibri" w:eastAsia="Times New Roman" w:hAnsi="Calibri" w:cs="Times New Roman"/>
                <w:b w:val="0"/>
                <w:color w:val="000000"/>
                <w:lang w:eastAsia="es-CL"/>
              </w:rPr>
              <w:lastRenderedPageBreak/>
              <w:t xml:space="preserve">Magallanes </w:t>
            </w:r>
          </w:p>
        </w:tc>
        <w:tc>
          <w:tcPr>
            <w:tcW w:w="2560" w:type="dxa"/>
            <w:noWrap/>
            <w:hideMark/>
          </w:tcPr>
          <w:p w:rsidR="00721441" w:rsidRPr="00721441" w:rsidRDefault="00721441" w:rsidP="00721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0</w:t>
            </w:r>
          </w:p>
        </w:tc>
      </w:tr>
      <w:tr w:rsidR="00721441" w:rsidRPr="00721441" w:rsidTr="00721441">
        <w:trPr>
          <w:trHeight w:val="300"/>
          <w:jc w:val="center"/>
        </w:trPr>
        <w:tc>
          <w:tcPr>
            <w:cnfStyle w:val="001000000000" w:firstRow="0" w:lastRow="0" w:firstColumn="1" w:lastColumn="0" w:oddVBand="0" w:evenVBand="0" w:oddHBand="0" w:evenHBand="0" w:firstRowFirstColumn="0" w:firstRowLastColumn="0" w:lastRowFirstColumn="0" w:lastRowLastColumn="0"/>
            <w:tcW w:w="2040" w:type="dxa"/>
            <w:noWrap/>
            <w:hideMark/>
          </w:tcPr>
          <w:p w:rsidR="00721441" w:rsidRPr="00721441" w:rsidRDefault="00721441" w:rsidP="00721441">
            <w:pPr>
              <w:jc w:val="center"/>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Total</w:t>
            </w:r>
          </w:p>
        </w:tc>
        <w:tc>
          <w:tcPr>
            <w:tcW w:w="2560" w:type="dxa"/>
            <w:noWrap/>
            <w:hideMark/>
          </w:tcPr>
          <w:p w:rsidR="00721441" w:rsidRPr="00721441" w:rsidRDefault="00721441" w:rsidP="007214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CL"/>
              </w:rPr>
            </w:pPr>
            <w:r w:rsidRPr="00721441">
              <w:rPr>
                <w:rFonts w:ascii="Calibri" w:eastAsia="Times New Roman" w:hAnsi="Calibri" w:cs="Times New Roman"/>
                <w:color w:val="000000"/>
                <w:lang w:eastAsia="es-CL"/>
              </w:rPr>
              <w:t>10</w:t>
            </w:r>
          </w:p>
        </w:tc>
      </w:tr>
    </w:tbl>
    <w:p w:rsidR="00721441" w:rsidRDefault="00721441" w:rsidP="00721441">
      <w:pPr>
        <w:jc w:val="center"/>
        <w:rPr>
          <w:noProof/>
          <w:lang w:eastAsia="es-CL"/>
        </w:rPr>
      </w:pPr>
      <w:r>
        <w:rPr>
          <w:noProof/>
          <w:lang w:eastAsia="es-CL"/>
        </w:rPr>
        <w:t xml:space="preserve"> </w:t>
      </w:r>
    </w:p>
    <w:p w:rsidR="00721441" w:rsidRDefault="00721441" w:rsidP="00721441">
      <w:pPr>
        <w:jc w:val="center"/>
      </w:pPr>
      <w:r>
        <w:rPr>
          <w:noProof/>
          <w:lang w:eastAsia="es-CL"/>
        </w:rPr>
        <w:drawing>
          <wp:inline distT="0" distB="0" distL="0" distR="0" wp14:anchorId="4ECEB577" wp14:editId="0A38F2EC">
            <wp:extent cx="4562475" cy="2743200"/>
            <wp:effectExtent l="0" t="0" r="9525"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441" w:rsidRDefault="00721441" w:rsidP="00721441">
      <w:r>
        <w:t xml:space="preserve">*De un total de 10 fondos en lista de </w:t>
      </w:r>
      <w:r w:rsidR="00050376">
        <w:t>espera, la región de Valparaíso</w:t>
      </w:r>
      <w:r>
        <w:t xml:space="preserve"> junto a la región del Biobío presentan </w:t>
      </w:r>
      <w:r w:rsidR="00050376">
        <w:t xml:space="preserve">un total de 3 proyectos </w:t>
      </w:r>
      <w:r>
        <w:t>en lista de espera</w:t>
      </w:r>
      <w:r w:rsidR="00050376">
        <w:t xml:space="preserve"> cada región</w:t>
      </w:r>
      <w:r>
        <w:t>, seguidos por  la región de Tarapacá, región Metropolitana, Araucanía y Los Ríos</w:t>
      </w:r>
      <w:r w:rsidR="00050376">
        <w:t>, quienes presentan  un fondo en lista de espera.</w:t>
      </w:r>
    </w:p>
    <w:sectPr w:rsidR="007214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87"/>
    <w:rsid w:val="00050376"/>
    <w:rsid w:val="000838A4"/>
    <w:rsid w:val="000C797E"/>
    <w:rsid w:val="001B23AA"/>
    <w:rsid w:val="00215FF4"/>
    <w:rsid w:val="002D72C3"/>
    <w:rsid w:val="00301DC6"/>
    <w:rsid w:val="0030257D"/>
    <w:rsid w:val="00303FBE"/>
    <w:rsid w:val="003A6189"/>
    <w:rsid w:val="003F33A9"/>
    <w:rsid w:val="00400550"/>
    <w:rsid w:val="004D422D"/>
    <w:rsid w:val="00547AB6"/>
    <w:rsid w:val="00633987"/>
    <w:rsid w:val="006A1809"/>
    <w:rsid w:val="006C5FAF"/>
    <w:rsid w:val="006F4CE3"/>
    <w:rsid w:val="0070742F"/>
    <w:rsid w:val="00721441"/>
    <w:rsid w:val="007806D0"/>
    <w:rsid w:val="00806E26"/>
    <w:rsid w:val="009B45C3"/>
    <w:rsid w:val="00CE792E"/>
    <w:rsid w:val="00D638C9"/>
    <w:rsid w:val="00D8303E"/>
    <w:rsid w:val="00E33E5F"/>
    <w:rsid w:val="00E94A87"/>
    <w:rsid w:val="00F96E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06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6D0"/>
    <w:rPr>
      <w:rFonts w:ascii="Tahoma" w:hAnsi="Tahoma" w:cs="Tahoma"/>
      <w:sz w:val="16"/>
      <w:szCs w:val="16"/>
    </w:rPr>
  </w:style>
  <w:style w:type="table" w:styleId="Tablaconcuadrcula">
    <w:name w:val="Table Grid"/>
    <w:basedOn w:val="Tablanormal"/>
    <w:uiPriority w:val="59"/>
    <w:rsid w:val="003A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303FB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06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6D0"/>
    <w:rPr>
      <w:rFonts w:ascii="Tahoma" w:hAnsi="Tahoma" w:cs="Tahoma"/>
      <w:sz w:val="16"/>
      <w:szCs w:val="16"/>
    </w:rPr>
  </w:style>
  <w:style w:type="table" w:styleId="Tablaconcuadrcula">
    <w:name w:val="Table Grid"/>
    <w:basedOn w:val="Tablanormal"/>
    <w:uiPriority w:val="59"/>
    <w:rsid w:val="003A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303FB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1189">
      <w:bodyDiv w:val="1"/>
      <w:marLeft w:val="0"/>
      <w:marRight w:val="0"/>
      <w:marTop w:val="0"/>
      <w:marBottom w:val="0"/>
      <w:divBdr>
        <w:top w:val="none" w:sz="0" w:space="0" w:color="auto"/>
        <w:left w:val="none" w:sz="0" w:space="0" w:color="auto"/>
        <w:bottom w:val="none" w:sz="0" w:space="0" w:color="auto"/>
        <w:right w:val="none" w:sz="0" w:space="0" w:color="auto"/>
      </w:divBdr>
    </w:div>
    <w:div w:id="333732045">
      <w:bodyDiv w:val="1"/>
      <w:marLeft w:val="0"/>
      <w:marRight w:val="0"/>
      <w:marTop w:val="0"/>
      <w:marBottom w:val="0"/>
      <w:divBdr>
        <w:top w:val="none" w:sz="0" w:space="0" w:color="auto"/>
        <w:left w:val="none" w:sz="0" w:space="0" w:color="auto"/>
        <w:bottom w:val="none" w:sz="0" w:space="0" w:color="auto"/>
        <w:right w:val="none" w:sz="0" w:space="0" w:color="auto"/>
      </w:divBdr>
    </w:div>
    <w:div w:id="398406070">
      <w:bodyDiv w:val="1"/>
      <w:marLeft w:val="0"/>
      <w:marRight w:val="0"/>
      <w:marTop w:val="0"/>
      <w:marBottom w:val="0"/>
      <w:divBdr>
        <w:top w:val="none" w:sz="0" w:space="0" w:color="auto"/>
        <w:left w:val="none" w:sz="0" w:space="0" w:color="auto"/>
        <w:bottom w:val="none" w:sz="0" w:space="0" w:color="auto"/>
        <w:right w:val="none" w:sz="0" w:space="0" w:color="auto"/>
      </w:divBdr>
    </w:div>
    <w:div w:id="454106434">
      <w:bodyDiv w:val="1"/>
      <w:marLeft w:val="0"/>
      <w:marRight w:val="0"/>
      <w:marTop w:val="0"/>
      <w:marBottom w:val="0"/>
      <w:divBdr>
        <w:top w:val="none" w:sz="0" w:space="0" w:color="auto"/>
        <w:left w:val="none" w:sz="0" w:space="0" w:color="auto"/>
        <w:bottom w:val="none" w:sz="0" w:space="0" w:color="auto"/>
        <w:right w:val="none" w:sz="0" w:space="0" w:color="auto"/>
      </w:divBdr>
    </w:div>
    <w:div w:id="584612758">
      <w:bodyDiv w:val="1"/>
      <w:marLeft w:val="0"/>
      <w:marRight w:val="0"/>
      <w:marTop w:val="0"/>
      <w:marBottom w:val="0"/>
      <w:divBdr>
        <w:top w:val="none" w:sz="0" w:space="0" w:color="auto"/>
        <w:left w:val="none" w:sz="0" w:space="0" w:color="auto"/>
        <w:bottom w:val="none" w:sz="0" w:space="0" w:color="auto"/>
        <w:right w:val="none" w:sz="0" w:space="0" w:color="auto"/>
      </w:divBdr>
    </w:div>
    <w:div w:id="609093969">
      <w:bodyDiv w:val="1"/>
      <w:marLeft w:val="0"/>
      <w:marRight w:val="0"/>
      <w:marTop w:val="0"/>
      <w:marBottom w:val="0"/>
      <w:divBdr>
        <w:top w:val="none" w:sz="0" w:space="0" w:color="auto"/>
        <w:left w:val="none" w:sz="0" w:space="0" w:color="auto"/>
        <w:bottom w:val="none" w:sz="0" w:space="0" w:color="auto"/>
        <w:right w:val="none" w:sz="0" w:space="0" w:color="auto"/>
      </w:divBdr>
    </w:div>
    <w:div w:id="612639400">
      <w:bodyDiv w:val="1"/>
      <w:marLeft w:val="0"/>
      <w:marRight w:val="0"/>
      <w:marTop w:val="0"/>
      <w:marBottom w:val="0"/>
      <w:divBdr>
        <w:top w:val="none" w:sz="0" w:space="0" w:color="auto"/>
        <w:left w:val="none" w:sz="0" w:space="0" w:color="auto"/>
        <w:bottom w:val="none" w:sz="0" w:space="0" w:color="auto"/>
        <w:right w:val="none" w:sz="0" w:space="0" w:color="auto"/>
      </w:divBdr>
    </w:div>
    <w:div w:id="658461599">
      <w:bodyDiv w:val="1"/>
      <w:marLeft w:val="0"/>
      <w:marRight w:val="0"/>
      <w:marTop w:val="0"/>
      <w:marBottom w:val="0"/>
      <w:divBdr>
        <w:top w:val="none" w:sz="0" w:space="0" w:color="auto"/>
        <w:left w:val="none" w:sz="0" w:space="0" w:color="auto"/>
        <w:bottom w:val="none" w:sz="0" w:space="0" w:color="auto"/>
        <w:right w:val="none" w:sz="0" w:space="0" w:color="auto"/>
      </w:divBdr>
    </w:div>
    <w:div w:id="680468241">
      <w:bodyDiv w:val="1"/>
      <w:marLeft w:val="0"/>
      <w:marRight w:val="0"/>
      <w:marTop w:val="0"/>
      <w:marBottom w:val="0"/>
      <w:divBdr>
        <w:top w:val="none" w:sz="0" w:space="0" w:color="auto"/>
        <w:left w:val="none" w:sz="0" w:space="0" w:color="auto"/>
        <w:bottom w:val="none" w:sz="0" w:space="0" w:color="auto"/>
        <w:right w:val="none" w:sz="0" w:space="0" w:color="auto"/>
      </w:divBdr>
    </w:div>
    <w:div w:id="976374476">
      <w:bodyDiv w:val="1"/>
      <w:marLeft w:val="0"/>
      <w:marRight w:val="0"/>
      <w:marTop w:val="0"/>
      <w:marBottom w:val="0"/>
      <w:divBdr>
        <w:top w:val="none" w:sz="0" w:space="0" w:color="auto"/>
        <w:left w:val="none" w:sz="0" w:space="0" w:color="auto"/>
        <w:bottom w:val="none" w:sz="0" w:space="0" w:color="auto"/>
        <w:right w:val="none" w:sz="0" w:space="0" w:color="auto"/>
      </w:divBdr>
    </w:div>
    <w:div w:id="1395201043">
      <w:bodyDiv w:val="1"/>
      <w:marLeft w:val="0"/>
      <w:marRight w:val="0"/>
      <w:marTop w:val="0"/>
      <w:marBottom w:val="0"/>
      <w:divBdr>
        <w:top w:val="none" w:sz="0" w:space="0" w:color="auto"/>
        <w:left w:val="none" w:sz="0" w:space="0" w:color="auto"/>
        <w:bottom w:val="none" w:sz="0" w:space="0" w:color="auto"/>
        <w:right w:val="none" w:sz="0" w:space="0" w:color="auto"/>
      </w:divBdr>
    </w:div>
    <w:div w:id="1717508715">
      <w:bodyDiv w:val="1"/>
      <w:marLeft w:val="0"/>
      <w:marRight w:val="0"/>
      <w:marTop w:val="0"/>
      <w:marBottom w:val="0"/>
      <w:divBdr>
        <w:top w:val="none" w:sz="0" w:space="0" w:color="auto"/>
        <w:left w:val="none" w:sz="0" w:space="0" w:color="auto"/>
        <w:bottom w:val="none" w:sz="0" w:space="0" w:color="auto"/>
        <w:right w:val="none" w:sz="0" w:space="0" w:color="auto"/>
      </w:divBdr>
    </w:div>
    <w:div w:id="17794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wnloads\Base%20de%20datos%20para%20informe%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'[Base de datos para informe 2012.xlsx]distribucion por modalidad'!$A$2</c:f>
              <c:strCache>
                <c:ptCount val="1"/>
                <c:pt idx="0">
                  <c:v>inedita</c:v>
                </c:pt>
              </c:strCache>
            </c:strRef>
          </c:tx>
          <c:invertIfNegative val="0"/>
          <c:cat>
            <c:strRef>
              <c:f>'[Base de datos para informe 2012.xlsx]distribucion por modalidad'!$B$1:$F$1</c:f>
              <c:strCache>
                <c:ptCount val="5"/>
                <c:pt idx="0">
                  <c:v>Equipamiento</c:v>
                </c:pt>
                <c:pt idx="1">
                  <c:v>Extensión</c:v>
                </c:pt>
                <c:pt idx="2">
                  <c:v>Formación </c:v>
                </c:pt>
                <c:pt idx="3">
                  <c:v>Producción</c:v>
                </c:pt>
                <c:pt idx="4">
                  <c:v>Linea Total</c:v>
                </c:pt>
              </c:strCache>
            </c:strRef>
          </c:cat>
          <c:val>
            <c:numRef>
              <c:f>'[Base de datos para informe 2012.xlsx]distribucion por modalidad'!$B$2:$F$2</c:f>
              <c:numCache>
                <c:formatCode>General</c:formatCode>
                <c:ptCount val="5"/>
                <c:pt idx="0">
                  <c:v>34</c:v>
                </c:pt>
                <c:pt idx="1">
                  <c:v>6</c:v>
                </c:pt>
                <c:pt idx="2">
                  <c:v>12</c:v>
                </c:pt>
                <c:pt idx="3">
                  <c:v>29</c:v>
                </c:pt>
                <c:pt idx="4">
                  <c:v>81</c:v>
                </c:pt>
              </c:numCache>
            </c:numRef>
          </c:val>
        </c:ser>
        <c:ser>
          <c:idx val="1"/>
          <c:order val="1"/>
          <c:tx>
            <c:strRef>
              <c:f>'[Base de datos para informe 2012.xlsx]distribucion por modalidad'!$A$3</c:f>
              <c:strCache>
                <c:ptCount val="1"/>
                <c:pt idx="0">
                  <c:v>Continuidad</c:v>
                </c:pt>
              </c:strCache>
            </c:strRef>
          </c:tx>
          <c:invertIfNegative val="0"/>
          <c:cat>
            <c:strRef>
              <c:f>'[Base de datos para informe 2012.xlsx]distribucion por modalidad'!$B$1:$F$1</c:f>
              <c:strCache>
                <c:ptCount val="5"/>
                <c:pt idx="0">
                  <c:v>Equipamiento</c:v>
                </c:pt>
                <c:pt idx="1">
                  <c:v>Extensión</c:v>
                </c:pt>
                <c:pt idx="2">
                  <c:v>Formación </c:v>
                </c:pt>
                <c:pt idx="3">
                  <c:v>Producción</c:v>
                </c:pt>
                <c:pt idx="4">
                  <c:v>Linea Total</c:v>
                </c:pt>
              </c:strCache>
            </c:strRef>
          </c:cat>
          <c:val>
            <c:numRef>
              <c:f>'[Base de datos para informe 2012.xlsx]distribucion por modalidad'!$B$3:$F$3</c:f>
              <c:numCache>
                <c:formatCode>General</c:formatCode>
                <c:ptCount val="5"/>
                <c:pt idx="0">
                  <c:v>82</c:v>
                </c:pt>
                <c:pt idx="1">
                  <c:v>14</c:v>
                </c:pt>
                <c:pt idx="2">
                  <c:v>10</c:v>
                </c:pt>
                <c:pt idx="3">
                  <c:v>23</c:v>
                </c:pt>
                <c:pt idx="4">
                  <c:v>129</c:v>
                </c:pt>
              </c:numCache>
            </c:numRef>
          </c:val>
        </c:ser>
        <c:ser>
          <c:idx val="2"/>
          <c:order val="2"/>
          <c:tx>
            <c:strRef>
              <c:f>'[Base de datos para informe 2012.xlsx]distribucion por modalidad'!$A$4</c:f>
              <c:strCache>
                <c:ptCount val="1"/>
                <c:pt idx="0">
                  <c:v>Modalidad Total</c:v>
                </c:pt>
              </c:strCache>
            </c:strRef>
          </c:tx>
          <c:invertIfNegative val="0"/>
          <c:cat>
            <c:strRef>
              <c:f>'[Base de datos para informe 2012.xlsx]distribucion por modalidad'!$B$1:$F$1</c:f>
              <c:strCache>
                <c:ptCount val="5"/>
                <c:pt idx="0">
                  <c:v>Equipamiento</c:v>
                </c:pt>
                <c:pt idx="1">
                  <c:v>Extensión</c:v>
                </c:pt>
                <c:pt idx="2">
                  <c:v>Formación </c:v>
                </c:pt>
                <c:pt idx="3">
                  <c:v>Producción</c:v>
                </c:pt>
                <c:pt idx="4">
                  <c:v>Linea Total</c:v>
                </c:pt>
              </c:strCache>
            </c:strRef>
          </c:cat>
          <c:val>
            <c:numRef>
              <c:f>'[Base de datos para informe 2012.xlsx]distribucion por modalidad'!$B$4:$F$4</c:f>
              <c:numCache>
                <c:formatCode>General</c:formatCode>
                <c:ptCount val="5"/>
                <c:pt idx="0">
                  <c:v>116</c:v>
                </c:pt>
                <c:pt idx="1">
                  <c:v>20</c:v>
                </c:pt>
                <c:pt idx="2">
                  <c:v>22</c:v>
                </c:pt>
                <c:pt idx="3">
                  <c:v>52</c:v>
                </c:pt>
                <c:pt idx="4">
                  <c:v>210</c:v>
                </c:pt>
              </c:numCache>
            </c:numRef>
          </c:val>
        </c:ser>
        <c:dLbls>
          <c:showLegendKey val="0"/>
          <c:showVal val="0"/>
          <c:showCatName val="0"/>
          <c:showSerName val="0"/>
          <c:showPercent val="0"/>
          <c:showBubbleSize val="0"/>
        </c:dLbls>
        <c:gapWidth val="150"/>
        <c:shape val="box"/>
        <c:axId val="112365568"/>
        <c:axId val="112367104"/>
        <c:axId val="0"/>
      </c:bar3DChart>
      <c:catAx>
        <c:axId val="112365568"/>
        <c:scaling>
          <c:orientation val="minMax"/>
        </c:scaling>
        <c:delete val="0"/>
        <c:axPos val="b"/>
        <c:majorTickMark val="out"/>
        <c:minorTickMark val="none"/>
        <c:tickLblPos val="nextTo"/>
        <c:crossAx val="112367104"/>
        <c:crosses val="autoZero"/>
        <c:auto val="1"/>
        <c:lblAlgn val="ctr"/>
        <c:lblOffset val="100"/>
        <c:noMultiLvlLbl val="0"/>
      </c:catAx>
      <c:valAx>
        <c:axId val="112367104"/>
        <c:scaling>
          <c:orientation val="minMax"/>
        </c:scaling>
        <c:delete val="0"/>
        <c:axPos val="l"/>
        <c:majorGridlines/>
        <c:numFmt formatCode="General" sourceLinked="1"/>
        <c:majorTickMark val="out"/>
        <c:minorTickMark val="none"/>
        <c:tickLblPos val="nextTo"/>
        <c:crossAx val="1123655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Hoja2!$C$8</c:f>
              <c:strCache>
                <c:ptCount val="1"/>
                <c:pt idx="0">
                  <c:v>N° de postulantes</c:v>
                </c:pt>
              </c:strCache>
            </c:strRef>
          </c:tx>
          <c:invertIfNegative val="0"/>
          <c:cat>
            <c:strRef>
              <c:f>Hoja2!$B$9:$B$23</c:f>
              <c:strCache>
                <c:ptCount val="15"/>
                <c:pt idx="0">
                  <c:v>Arica y Parinacota </c:v>
                </c:pt>
                <c:pt idx="1">
                  <c:v>Tarapacá</c:v>
                </c:pt>
                <c:pt idx="2">
                  <c:v>Antofagasta</c:v>
                </c:pt>
                <c:pt idx="3">
                  <c:v>Atacama</c:v>
                </c:pt>
                <c:pt idx="4">
                  <c:v>Coquimbo</c:v>
                </c:pt>
                <c:pt idx="5">
                  <c:v>Valparaíso</c:v>
                </c:pt>
                <c:pt idx="6">
                  <c:v>Metropolitana </c:v>
                </c:pt>
                <c:pt idx="7">
                  <c:v>O´Higgins</c:v>
                </c:pt>
                <c:pt idx="8">
                  <c:v>Maule</c:v>
                </c:pt>
                <c:pt idx="9">
                  <c:v>Biobío</c:v>
                </c:pt>
                <c:pt idx="10">
                  <c:v>Araucanía</c:v>
                </c:pt>
                <c:pt idx="11">
                  <c:v>Los Lagos</c:v>
                </c:pt>
                <c:pt idx="12">
                  <c:v>Los Ríos</c:v>
                </c:pt>
                <c:pt idx="13">
                  <c:v>Aysén </c:v>
                </c:pt>
                <c:pt idx="14">
                  <c:v>Magallanes </c:v>
                </c:pt>
              </c:strCache>
            </c:strRef>
          </c:cat>
          <c:val>
            <c:numRef>
              <c:f>Hoja2!$C$9:$C$23</c:f>
              <c:numCache>
                <c:formatCode>General</c:formatCode>
                <c:ptCount val="15"/>
                <c:pt idx="0">
                  <c:v>4</c:v>
                </c:pt>
                <c:pt idx="1">
                  <c:v>7</c:v>
                </c:pt>
                <c:pt idx="2">
                  <c:v>3</c:v>
                </c:pt>
                <c:pt idx="3">
                  <c:v>4</c:v>
                </c:pt>
                <c:pt idx="4">
                  <c:v>7</c:v>
                </c:pt>
                <c:pt idx="5">
                  <c:v>29</c:v>
                </c:pt>
                <c:pt idx="6">
                  <c:v>48</c:v>
                </c:pt>
                <c:pt idx="7">
                  <c:v>15</c:v>
                </c:pt>
                <c:pt idx="8">
                  <c:v>6</c:v>
                </c:pt>
                <c:pt idx="9">
                  <c:v>25</c:v>
                </c:pt>
                <c:pt idx="10">
                  <c:v>20</c:v>
                </c:pt>
                <c:pt idx="11">
                  <c:v>25</c:v>
                </c:pt>
                <c:pt idx="12">
                  <c:v>7</c:v>
                </c:pt>
                <c:pt idx="13">
                  <c:v>3</c:v>
                </c:pt>
                <c:pt idx="14">
                  <c:v>7</c:v>
                </c:pt>
              </c:numCache>
            </c:numRef>
          </c:val>
        </c:ser>
        <c:dLbls>
          <c:showLegendKey val="0"/>
          <c:showVal val="0"/>
          <c:showCatName val="0"/>
          <c:showSerName val="0"/>
          <c:showPercent val="0"/>
          <c:showBubbleSize val="0"/>
        </c:dLbls>
        <c:gapWidth val="150"/>
        <c:shape val="box"/>
        <c:axId val="112420352"/>
        <c:axId val="112421888"/>
        <c:axId val="0"/>
      </c:bar3DChart>
      <c:catAx>
        <c:axId val="112420352"/>
        <c:scaling>
          <c:orientation val="minMax"/>
        </c:scaling>
        <c:delete val="0"/>
        <c:axPos val="b"/>
        <c:majorTickMark val="out"/>
        <c:minorTickMark val="none"/>
        <c:tickLblPos val="nextTo"/>
        <c:crossAx val="112421888"/>
        <c:crosses val="autoZero"/>
        <c:auto val="1"/>
        <c:lblAlgn val="ctr"/>
        <c:lblOffset val="100"/>
        <c:noMultiLvlLbl val="0"/>
      </c:catAx>
      <c:valAx>
        <c:axId val="112421888"/>
        <c:scaling>
          <c:orientation val="minMax"/>
        </c:scaling>
        <c:delete val="0"/>
        <c:axPos val="l"/>
        <c:majorGridlines/>
        <c:numFmt formatCode="General" sourceLinked="1"/>
        <c:majorTickMark val="out"/>
        <c:minorTickMark val="none"/>
        <c:tickLblPos val="nextTo"/>
        <c:crossAx val="112420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Hoja3!$G$14</c:f>
              <c:strCache>
                <c:ptCount val="1"/>
                <c:pt idx="0">
                  <c:v>N° de adjudicados</c:v>
                </c:pt>
              </c:strCache>
            </c:strRef>
          </c:tx>
          <c:invertIfNegative val="0"/>
          <c:cat>
            <c:strRef>
              <c:f>Hoja3!$F$15:$F$29</c:f>
              <c:strCache>
                <c:ptCount val="15"/>
                <c:pt idx="0">
                  <c:v>Arica y Parinacota </c:v>
                </c:pt>
                <c:pt idx="1">
                  <c:v>Tarapacá</c:v>
                </c:pt>
                <c:pt idx="2">
                  <c:v>Antofagasta</c:v>
                </c:pt>
                <c:pt idx="3">
                  <c:v>Atacama</c:v>
                </c:pt>
                <c:pt idx="4">
                  <c:v>Coquimbo</c:v>
                </c:pt>
                <c:pt idx="5">
                  <c:v>Valparaíso</c:v>
                </c:pt>
                <c:pt idx="6">
                  <c:v>RM</c:v>
                </c:pt>
                <c:pt idx="7">
                  <c:v>O´Higgins</c:v>
                </c:pt>
                <c:pt idx="8">
                  <c:v>Maule</c:v>
                </c:pt>
                <c:pt idx="9">
                  <c:v>Biobío</c:v>
                </c:pt>
                <c:pt idx="10">
                  <c:v>Araucanía</c:v>
                </c:pt>
                <c:pt idx="11">
                  <c:v>Los Lagos</c:v>
                </c:pt>
                <c:pt idx="12">
                  <c:v>Los Ríos</c:v>
                </c:pt>
                <c:pt idx="13">
                  <c:v>Aysén </c:v>
                </c:pt>
                <c:pt idx="14">
                  <c:v>Magallanes </c:v>
                </c:pt>
              </c:strCache>
            </c:strRef>
          </c:cat>
          <c:val>
            <c:numRef>
              <c:f>Hoja3!$G$15:$G$29</c:f>
              <c:numCache>
                <c:formatCode>General</c:formatCode>
                <c:ptCount val="15"/>
                <c:pt idx="0">
                  <c:v>0</c:v>
                </c:pt>
                <c:pt idx="1">
                  <c:v>0</c:v>
                </c:pt>
                <c:pt idx="2">
                  <c:v>0</c:v>
                </c:pt>
                <c:pt idx="3">
                  <c:v>0</c:v>
                </c:pt>
                <c:pt idx="4">
                  <c:v>4</c:v>
                </c:pt>
                <c:pt idx="5">
                  <c:v>3</c:v>
                </c:pt>
                <c:pt idx="6">
                  <c:v>10</c:v>
                </c:pt>
                <c:pt idx="7">
                  <c:v>3</c:v>
                </c:pt>
                <c:pt idx="8">
                  <c:v>1</c:v>
                </c:pt>
                <c:pt idx="9">
                  <c:v>5</c:v>
                </c:pt>
                <c:pt idx="10">
                  <c:v>6</c:v>
                </c:pt>
                <c:pt idx="11">
                  <c:v>6</c:v>
                </c:pt>
                <c:pt idx="12">
                  <c:v>1</c:v>
                </c:pt>
                <c:pt idx="13">
                  <c:v>2</c:v>
                </c:pt>
                <c:pt idx="14">
                  <c:v>2</c:v>
                </c:pt>
              </c:numCache>
            </c:numRef>
          </c:val>
        </c:ser>
        <c:dLbls>
          <c:showLegendKey val="0"/>
          <c:showVal val="0"/>
          <c:showCatName val="0"/>
          <c:showSerName val="0"/>
          <c:showPercent val="0"/>
          <c:showBubbleSize val="0"/>
        </c:dLbls>
        <c:gapWidth val="150"/>
        <c:shape val="box"/>
        <c:axId val="112876928"/>
        <c:axId val="112895104"/>
        <c:axId val="0"/>
      </c:bar3DChart>
      <c:catAx>
        <c:axId val="112876928"/>
        <c:scaling>
          <c:orientation val="minMax"/>
        </c:scaling>
        <c:delete val="0"/>
        <c:axPos val="b"/>
        <c:majorTickMark val="out"/>
        <c:minorTickMark val="none"/>
        <c:tickLblPos val="nextTo"/>
        <c:crossAx val="112895104"/>
        <c:crosses val="autoZero"/>
        <c:auto val="1"/>
        <c:lblAlgn val="ctr"/>
        <c:lblOffset val="100"/>
        <c:noMultiLvlLbl val="0"/>
      </c:catAx>
      <c:valAx>
        <c:axId val="112895104"/>
        <c:scaling>
          <c:orientation val="minMax"/>
        </c:scaling>
        <c:delete val="0"/>
        <c:axPos val="l"/>
        <c:majorGridlines/>
        <c:numFmt formatCode="General" sourceLinked="1"/>
        <c:majorTickMark val="out"/>
        <c:minorTickMark val="none"/>
        <c:tickLblPos val="nextTo"/>
        <c:crossAx val="1128769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Hoja3!$B$38</c:f>
              <c:strCache>
                <c:ptCount val="1"/>
                <c:pt idx="0">
                  <c:v>Inédita </c:v>
                </c:pt>
              </c:strCache>
            </c:strRef>
          </c:tx>
          <c:invertIfNegative val="0"/>
          <c:cat>
            <c:strRef>
              <c:f>Hoja3!$C$37:$G$37</c:f>
              <c:strCache>
                <c:ptCount val="5"/>
                <c:pt idx="0">
                  <c:v>Producción</c:v>
                </c:pt>
                <c:pt idx="1">
                  <c:v>Extensión </c:v>
                </c:pt>
                <c:pt idx="2">
                  <c:v>Equipamiento</c:v>
                </c:pt>
                <c:pt idx="3">
                  <c:v>Formación</c:v>
                </c:pt>
                <c:pt idx="4">
                  <c:v>Linea total</c:v>
                </c:pt>
              </c:strCache>
            </c:strRef>
          </c:cat>
          <c:val>
            <c:numRef>
              <c:f>Hoja3!$C$38:$G$38</c:f>
              <c:numCache>
                <c:formatCode>General</c:formatCode>
                <c:ptCount val="5"/>
                <c:pt idx="0">
                  <c:v>8</c:v>
                </c:pt>
                <c:pt idx="1">
                  <c:v>2</c:v>
                </c:pt>
                <c:pt idx="2">
                  <c:v>5</c:v>
                </c:pt>
                <c:pt idx="3">
                  <c:v>4</c:v>
                </c:pt>
                <c:pt idx="4">
                  <c:v>19</c:v>
                </c:pt>
              </c:numCache>
            </c:numRef>
          </c:val>
        </c:ser>
        <c:ser>
          <c:idx val="1"/>
          <c:order val="1"/>
          <c:tx>
            <c:strRef>
              <c:f>Hoja3!$B$39</c:f>
              <c:strCache>
                <c:ptCount val="1"/>
                <c:pt idx="0">
                  <c:v>Continua</c:v>
                </c:pt>
              </c:strCache>
            </c:strRef>
          </c:tx>
          <c:invertIfNegative val="0"/>
          <c:cat>
            <c:strRef>
              <c:f>Hoja3!$C$37:$G$37</c:f>
              <c:strCache>
                <c:ptCount val="5"/>
                <c:pt idx="0">
                  <c:v>Producción</c:v>
                </c:pt>
                <c:pt idx="1">
                  <c:v>Extensión </c:v>
                </c:pt>
                <c:pt idx="2">
                  <c:v>Equipamiento</c:v>
                </c:pt>
                <c:pt idx="3">
                  <c:v>Formación</c:v>
                </c:pt>
                <c:pt idx="4">
                  <c:v>Linea total</c:v>
                </c:pt>
              </c:strCache>
            </c:strRef>
          </c:cat>
          <c:val>
            <c:numRef>
              <c:f>Hoja3!$C$39:$G$39</c:f>
              <c:numCache>
                <c:formatCode>General</c:formatCode>
                <c:ptCount val="5"/>
                <c:pt idx="0">
                  <c:v>10</c:v>
                </c:pt>
                <c:pt idx="1">
                  <c:v>3</c:v>
                </c:pt>
                <c:pt idx="2">
                  <c:v>11</c:v>
                </c:pt>
                <c:pt idx="3">
                  <c:v>1</c:v>
                </c:pt>
                <c:pt idx="4">
                  <c:v>26</c:v>
                </c:pt>
              </c:numCache>
            </c:numRef>
          </c:val>
        </c:ser>
        <c:ser>
          <c:idx val="2"/>
          <c:order val="2"/>
          <c:tx>
            <c:strRef>
              <c:f>Hoja3!$B$40</c:f>
              <c:strCache>
                <c:ptCount val="1"/>
                <c:pt idx="0">
                  <c:v>Modalidad Total</c:v>
                </c:pt>
              </c:strCache>
            </c:strRef>
          </c:tx>
          <c:invertIfNegative val="0"/>
          <c:cat>
            <c:strRef>
              <c:f>Hoja3!$C$37:$G$37</c:f>
              <c:strCache>
                <c:ptCount val="5"/>
                <c:pt idx="0">
                  <c:v>Producción</c:v>
                </c:pt>
                <c:pt idx="1">
                  <c:v>Extensión </c:v>
                </c:pt>
                <c:pt idx="2">
                  <c:v>Equipamiento</c:v>
                </c:pt>
                <c:pt idx="3">
                  <c:v>Formación</c:v>
                </c:pt>
                <c:pt idx="4">
                  <c:v>Linea total</c:v>
                </c:pt>
              </c:strCache>
            </c:strRef>
          </c:cat>
          <c:val>
            <c:numRef>
              <c:f>Hoja3!$C$40:$G$40</c:f>
              <c:numCache>
                <c:formatCode>General</c:formatCode>
                <c:ptCount val="5"/>
                <c:pt idx="0">
                  <c:v>18</c:v>
                </c:pt>
                <c:pt idx="1">
                  <c:v>5</c:v>
                </c:pt>
                <c:pt idx="2">
                  <c:v>16</c:v>
                </c:pt>
                <c:pt idx="3">
                  <c:v>5</c:v>
                </c:pt>
                <c:pt idx="4">
                  <c:v>44</c:v>
                </c:pt>
              </c:numCache>
            </c:numRef>
          </c:val>
        </c:ser>
        <c:dLbls>
          <c:showLegendKey val="0"/>
          <c:showVal val="0"/>
          <c:showCatName val="0"/>
          <c:showSerName val="0"/>
          <c:showPercent val="0"/>
          <c:showBubbleSize val="0"/>
        </c:dLbls>
        <c:gapWidth val="150"/>
        <c:shape val="box"/>
        <c:axId val="112909312"/>
        <c:axId val="114262784"/>
        <c:axId val="0"/>
      </c:bar3DChart>
      <c:catAx>
        <c:axId val="112909312"/>
        <c:scaling>
          <c:orientation val="minMax"/>
        </c:scaling>
        <c:delete val="0"/>
        <c:axPos val="b"/>
        <c:majorTickMark val="out"/>
        <c:minorTickMark val="none"/>
        <c:tickLblPos val="nextTo"/>
        <c:crossAx val="114262784"/>
        <c:crosses val="autoZero"/>
        <c:auto val="1"/>
        <c:lblAlgn val="ctr"/>
        <c:lblOffset val="100"/>
        <c:noMultiLvlLbl val="0"/>
      </c:catAx>
      <c:valAx>
        <c:axId val="114262784"/>
        <c:scaling>
          <c:orientation val="minMax"/>
        </c:scaling>
        <c:delete val="0"/>
        <c:axPos val="l"/>
        <c:majorGridlines/>
        <c:numFmt formatCode="General" sourceLinked="1"/>
        <c:majorTickMark val="out"/>
        <c:minorTickMark val="none"/>
        <c:tickLblPos val="nextTo"/>
        <c:crossAx val="1129093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Hoja4!$E$16</c:f>
              <c:strCache>
                <c:ptCount val="1"/>
                <c:pt idx="0">
                  <c:v>N° de inadmisibles</c:v>
                </c:pt>
              </c:strCache>
            </c:strRef>
          </c:tx>
          <c:invertIfNegative val="0"/>
          <c:cat>
            <c:strRef>
              <c:f>Hoja4!$D$17:$D$31</c:f>
              <c:strCache>
                <c:ptCount val="15"/>
                <c:pt idx="0">
                  <c:v>Arica y Parinacota </c:v>
                </c:pt>
                <c:pt idx="1">
                  <c:v>Tarapacá</c:v>
                </c:pt>
                <c:pt idx="2">
                  <c:v>Antofagasta</c:v>
                </c:pt>
                <c:pt idx="3">
                  <c:v>Atacama</c:v>
                </c:pt>
                <c:pt idx="4">
                  <c:v>Coquimbo</c:v>
                </c:pt>
                <c:pt idx="5">
                  <c:v>Valparaíso</c:v>
                </c:pt>
                <c:pt idx="6">
                  <c:v>RM</c:v>
                </c:pt>
                <c:pt idx="7">
                  <c:v>O´Higgins</c:v>
                </c:pt>
                <c:pt idx="8">
                  <c:v>Maule</c:v>
                </c:pt>
                <c:pt idx="9">
                  <c:v>Biobío</c:v>
                </c:pt>
                <c:pt idx="10">
                  <c:v>Araucanía</c:v>
                </c:pt>
                <c:pt idx="11">
                  <c:v>Los Lagos</c:v>
                </c:pt>
                <c:pt idx="12">
                  <c:v>Los Ríos</c:v>
                </c:pt>
                <c:pt idx="13">
                  <c:v>Aysén </c:v>
                </c:pt>
                <c:pt idx="14">
                  <c:v>Magallanes </c:v>
                </c:pt>
              </c:strCache>
            </c:strRef>
          </c:cat>
          <c:val>
            <c:numRef>
              <c:f>Hoja4!$E$17:$E$31</c:f>
              <c:numCache>
                <c:formatCode>General</c:formatCode>
                <c:ptCount val="15"/>
                <c:pt idx="0">
                  <c:v>0</c:v>
                </c:pt>
                <c:pt idx="1">
                  <c:v>0</c:v>
                </c:pt>
                <c:pt idx="2">
                  <c:v>0</c:v>
                </c:pt>
                <c:pt idx="3">
                  <c:v>0</c:v>
                </c:pt>
                <c:pt idx="4">
                  <c:v>0</c:v>
                </c:pt>
                <c:pt idx="5">
                  <c:v>3</c:v>
                </c:pt>
                <c:pt idx="6">
                  <c:v>2</c:v>
                </c:pt>
                <c:pt idx="7">
                  <c:v>2</c:v>
                </c:pt>
                <c:pt idx="8">
                  <c:v>0</c:v>
                </c:pt>
                <c:pt idx="9">
                  <c:v>2</c:v>
                </c:pt>
                <c:pt idx="10">
                  <c:v>0</c:v>
                </c:pt>
                <c:pt idx="11">
                  <c:v>1</c:v>
                </c:pt>
                <c:pt idx="12">
                  <c:v>0</c:v>
                </c:pt>
                <c:pt idx="13">
                  <c:v>0</c:v>
                </c:pt>
                <c:pt idx="14">
                  <c:v>0</c:v>
                </c:pt>
              </c:numCache>
            </c:numRef>
          </c:val>
        </c:ser>
        <c:dLbls>
          <c:showLegendKey val="0"/>
          <c:showVal val="0"/>
          <c:showCatName val="0"/>
          <c:showSerName val="0"/>
          <c:showPercent val="0"/>
          <c:showBubbleSize val="0"/>
        </c:dLbls>
        <c:gapWidth val="150"/>
        <c:shape val="box"/>
        <c:axId val="114410240"/>
        <c:axId val="114411776"/>
        <c:axId val="0"/>
      </c:bar3DChart>
      <c:catAx>
        <c:axId val="114410240"/>
        <c:scaling>
          <c:orientation val="minMax"/>
        </c:scaling>
        <c:delete val="0"/>
        <c:axPos val="b"/>
        <c:majorTickMark val="out"/>
        <c:minorTickMark val="none"/>
        <c:tickLblPos val="nextTo"/>
        <c:crossAx val="114411776"/>
        <c:crosses val="autoZero"/>
        <c:auto val="1"/>
        <c:lblAlgn val="ctr"/>
        <c:lblOffset val="100"/>
        <c:noMultiLvlLbl val="0"/>
      </c:catAx>
      <c:valAx>
        <c:axId val="114411776"/>
        <c:scaling>
          <c:orientation val="minMax"/>
        </c:scaling>
        <c:delete val="0"/>
        <c:axPos val="l"/>
        <c:majorGridlines/>
        <c:numFmt formatCode="General" sourceLinked="1"/>
        <c:majorTickMark val="out"/>
        <c:minorTickMark val="none"/>
        <c:tickLblPos val="nextTo"/>
        <c:crossAx val="1144102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Hoja5!$C$14</c:f>
              <c:strCache>
                <c:ptCount val="1"/>
                <c:pt idx="0">
                  <c:v>Fondos en lista de espera</c:v>
                </c:pt>
              </c:strCache>
            </c:strRef>
          </c:tx>
          <c:invertIfNegative val="0"/>
          <c:cat>
            <c:strRef>
              <c:f>Hoja5!$B$15:$B$29</c:f>
              <c:strCache>
                <c:ptCount val="15"/>
                <c:pt idx="0">
                  <c:v>Arica y Parinacota </c:v>
                </c:pt>
                <c:pt idx="1">
                  <c:v>Tarapacá</c:v>
                </c:pt>
                <c:pt idx="2">
                  <c:v>Antofagasta</c:v>
                </c:pt>
                <c:pt idx="3">
                  <c:v>Atacama</c:v>
                </c:pt>
                <c:pt idx="4">
                  <c:v>Coquimbo</c:v>
                </c:pt>
                <c:pt idx="5">
                  <c:v>Valparaíso</c:v>
                </c:pt>
                <c:pt idx="6">
                  <c:v>RM</c:v>
                </c:pt>
                <c:pt idx="7">
                  <c:v>O´Higgins</c:v>
                </c:pt>
                <c:pt idx="8">
                  <c:v>Maule</c:v>
                </c:pt>
                <c:pt idx="9">
                  <c:v>Biobío</c:v>
                </c:pt>
                <c:pt idx="10">
                  <c:v>Araucanía</c:v>
                </c:pt>
                <c:pt idx="11">
                  <c:v>Los Lagos</c:v>
                </c:pt>
                <c:pt idx="12">
                  <c:v>Los Ríos</c:v>
                </c:pt>
                <c:pt idx="13">
                  <c:v>Aysén </c:v>
                </c:pt>
                <c:pt idx="14">
                  <c:v>Magallanes </c:v>
                </c:pt>
              </c:strCache>
            </c:strRef>
          </c:cat>
          <c:val>
            <c:numRef>
              <c:f>Hoja5!$C$15:$C$29</c:f>
              <c:numCache>
                <c:formatCode>General</c:formatCode>
                <c:ptCount val="15"/>
                <c:pt idx="0">
                  <c:v>0</c:v>
                </c:pt>
                <c:pt idx="1">
                  <c:v>1</c:v>
                </c:pt>
                <c:pt idx="2">
                  <c:v>0</c:v>
                </c:pt>
                <c:pt idx="3">
                  <c:v>0</c:v>
                </c:pt>
                <c:pt idx="4">
                  <c:v>0</c:v>
                </c:pt>
                <c:pt idx="5">
                  <c:v>3</c:v>
                </c:pt>
                <c:pt idx="6">
                  <c:v>1</c:v>
                </c:pt>
                <c:pt idx="7">
                  <c:v>0</c:v>
                </c:pt>
                <c:pt idx="8">
                  <c:v>0</c:v>
                </c:pt>
                <c:pt idx="9">
                  <c:v>3</c:v>
                </c:pt>
                <c:pt idx="10">
                  <c:v>1</c:v>
                </c:pt>
                <c:pt idx="11">
                  <c:v>0</c:v>
                </c:pt>
                <c:pt idx="12">
                  <c:v>1</c:v>
                </c:pt>
                <c:pt idx="13">
                  <c:v>0</c:v>
                </c:pt>
                <c:pt idx="14">
                  <c:v>0</c:v>
                </c:pt>
              </c:numCache>
            </c:numRef>
          </c:val>
        </c:ser>
        <c:dLbls>
          <c:showLegendKey val="0"/>
          <c:showVal val="0"/>
          <c:showCatName val="0"/>
          <c:showSerName val="0"/>
          <c:showPercent val="0"/>
          <c:showBubbleSize val="0"/>
        </c:dLbls>
        <c:gapWidth val="150"/>
        <c:shape val="box"/>
        <c:axId val="114281088"/>
        <c:axId val="114442624"/>
        <c:axId val="0"/>
      </c:bar3DChart>
      <c:catAx>
        <c:axId val="114281088"/>
        <c:scaling>
          <c:orientation val="minMax"/>
        </c:scaling>
        <c:delete val="0"/>
        <c:axPos val="b"/>
        <c:majorTickMark val="out"/>
        <c:minorTickMark val="none"/>
        <c:tickLblPos val="nextTo"/>
        <c:crossAx val="114442624"/>
        <c:crosses val="autoZero"/>
        <c:auto val="1"/>
        <c:lblAlgn val="ctr"/>
        <c:lblOffset val="100"/>
        <c:noMultiLvlLbl val="0"/>
      </c:catAx>
      <c:valAx>
        <c:axId val="114442624"/>
        <c:scaling>
          <c:orientation val="minMax"/>
        </c:scaling>
        <c:delete val="0"/>
        <c:axPos val="l"/>
        <c:majorGridlines/>
        <c:numFmt formatCode="General" sourceLinked="1"/>
        <c:majorTickMark val="out"/>
        <c:minorTickMark val="none"/>
        <c:tickLblPos val="nextTo"/>
        <c:crossAx val="114281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67C1-8F68-413E-AB3D-DCF2E313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7</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2013-08-30T00:46:00Z</dcterms:created>
  <dcterms:modified xsi:type="dcterms:W3CDTF">2013-09-04T22:50:00Z</dcterms:modified>
</cp:coreProperties>
</file>