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AE" w:rsidRPr="00B65630" w:rsidRDefault="00577EAE" w:rsidP="0069342A">
      <w:pPr>
        <w:spacing w:line="360" w:lineRule="auto"/>
        <w:rPr>
          <w:rFonts w:ascii="Verdana" w:hAnsi="Verdana"/>
          <w:b/>
          <w:sz w:val="24"/>
          <w:szCs w:val="24"/>
        </w:rPr>
      </w:pPr>
    </w:p>
    <w:p w:rsidR="0069342A" w:rsidRPr="00B65630" w:rsidRDefault="0069342A" w:rsidP="0069342A">
      <w:pPr>
        <w:spacing w:line="240" w:lineRule="auto"/>
        <w:rPr>
          <w:rFonts w:ascii="Verdana" w:hAnsi="Verdana"/>
          <w:b/>
          <w:sz w:val="32"/>
          <w:szCs w:val="32"/>
        </w:rPr>
      </w:pPr>
      <w:r w:rsidRPr="00B65630">
        <w:rPr>
          <w:rFonts w:ascii="Verdana" w:hAnsi="Verdana" w:cs="Calibri"/>
          <w:bCs/>
          <w:noProof/>
          <w:szCs w:val="20"/>
          <w:lang w:eastAsia="es-CL"/>
        </w:rPr>
        <w:drawing>
          <wp:inline distT="0" distB="0" distL="0" distR="0" wp14:anchorId="17ED95C5" wp14:editId="109757A6">
            <wp:extent cx="1838325" cy="25961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338" cy="2604645"/>
                    </a:xfrm>
                    <a:prstGeom prst="rect">
                      <a:avLst/>
                    </a:prstGeom>
                    <a:noFill/>
                  </pic:spPr>
                </pic:pic>
              </a:graphicData>
            </a:graphic>
          </wp:inline>
        </w:drawing>
      </w:r>
      <w:r w:rsidRPr="00B65630">
        <w:rPr>
          <w:rFonts w:ascii="Verdana" w:hAnsi="Verdana"/>
          <w:b/>
          <w:sz w:val="32"/>
          <w:szCs w:val="32"/>
        </w:rPr>
        <w:t xml:space="preserve">  </w:t>
      </w:r>
    </w:p>
    <w:p w:rsidR="00A0599C" w:rsidRPr="00B65630" w:rsidRDefault="00A0599C" w:rsidP="00A0599C">
      <w:pPr>
        <w:spacing w:line="240" w:lineRule="auto"/>
        <w:jc w:val="center"/>
        <w:rPr>
          <w:rFonts w:ascii="Verdana" w:hAnsi="Verdana"/>
          <w:b/>
          <w:sz w:val="32"/>
          <w:szCs w:val="32"/>
          <w:u w:val="single"/>
        </w:rPr>
      </w:pPr>
    </w:p>
    <w:p w:rsidR="00A0599C" w:rsidRPr="00B65630" w:rsidRDefault="00A0599C" w:rsidP="00A0599C">
      <w:pPr>
        <w:spacing w:line="240" w:lineRule="auto"/>
        <w:jc w:val="center"/>
        <w:rPr>
          <w:rFonts w:ascii="Verdana" w:hAnsi="Verdana"/>
          <w:b/>
          <w:sz w:val="32"/>
          <w:szCs w:val="32"/>
          <w:u w:val="single"/>
        </w:rPr>
      </w:pPr>
    </w:p>
    <w:p w:rsidR="0069342A" w:rsidRPr="00B65630" w:rsidRDefault="00396A33" w:rsidP="00A0599C">
      <w:pPr>
        <w:spacing w:line="240" w:lineRule="auto"/>
        <w:jc w:val="center"/>
        <w:rPr>
          <w:rFonts w:ascii="Verdana" w:hAnsi="Verdana" w:cs="Tahoma"/>
          <w:b/>
          <w:sz w:val="28"/>
          <w:szCs w:val="28"/>
          <w:u w:val="single"/>
        </w:rPr>
      </w:pPr>
      <w:r w:rsidRPr="00B65630">
        <w:rPr>
          <w:rFonts w:ascii="Verdana" w:hAnsi="Verdana" w:cs="Tahoma"/>
          <w:b/>
          <w:sz w:val="28"/>
          <w:szCs w:val="28"/>
          <w:u w:val="single"/>
        </w:rPr>
        <w:t xml:space="preserve">Informe </w:t>
      </w:r>
      <w:r w:rsidR="0069342A" w:rsidRPr="00B65630">
        <w:rPr>
          <w:rFonts w:ascii="Verdana" w:hAnsi="Verdana" w:cs="Tahoma"/>
          <w:b/>
          <w:sz w:val="28"/>
          <w:szCs w:val="28"/>
          <w:u w:val="single"/>
        </w:rPr>
        <w:t xml:space="preserve">Fondo </w:t>
      </w:r>
      <w:proofErr w:type="spellStart"/>
      <w:r w:rsidR="0069342A" w:rsidRPr="00B65630">
        <w:rPr>
          <w:rFonts w:ascii="Verdana" w:hAnsi="Verdana" w:cs="Tahoma"/>
          <w:b/>
          <w:sz w:val="28"/>
          <w:szCs w:val="28"/>
          <w:u w:val="single"/>
        </w:rPr>
        <w:t>Concursable</w:t>
      </w:r>
      <w:proofErr w:type="spellEnd"/>
    </w:p>
    <w:p w:rsidR="00577EAE" w:rsidRPr="00B65630" w:rsidRDefault="00396A33" w:rsidP="00A0599C">
      <w:pPr>
        <w:spacing w:line="240" w:lineRule="auto"/>
        <w:jc w:val="center"/>
        <w:rPr>
          <w:rFonts w:ascii="Verdana" w:hAnsi="Verdana" w:cs="Tahoma"/>
          <w:b/>
          <w:sz w:val="28"/>
          <w:szCs w:val="28"/>
          <w:u w:val="single"/>
        </w:rPr>
      </w:pPr>
      <w:r w:rsidRPr="00B65630">
        <w:rPr>
          <w:rFonts w:ascii="Verdana" w:hAnsi="Verdana" w:cs="Tahoma"/>
          <w:b/>
          <w:sz w:val="28"/>
          <w:szCs w:val="28"/>
          <w:u w:val="single"/>
        </w:rPr>
        <w:t xml:space="preserve">Fondo de </w:t>
      </w:r>
      <w:r w:rsidR="00ED3809" w:rsidRPr="00B65630">
        <w:rPr>
          <w:rFonts w:ascii="Verdana" w:hAnsi="Verdana" w:cs="Tahoma"/>
          <w:b/>
          <w:sz w:val="28"/>
          <w:szCs w:val="28"/>
          <w:u w:val="single"/>
        </w:rPr>
        <w:t>Fomento al Arte en la Educación</w:t>
      </w:r>
      <w:r w:rsidR="00284974">
        <w:rPr>
          <w:rFonts w:ascii="Verdana" w:hAnsi="Verdana" w:cs="Tahoma"/>
          <w:b/>
          <w:sz w:val="28"/>
          <w:szCs w:val="28"/>
          <w:u w:val="single"/>
        </w:rPr>
        <w:t xml:space="preserve"> (FAE)</w:t>
      </w:r>
      <w:bookmarkStart w:id="0" w:name="_GoBack"/>
      <w:bookmarkEnd w:id="0"/>
    </w:p>
    <w:p w:rsidR="00284974" w:rsidRPr="00B65630" w:rsidRDefault="00284974" w:rsidP="00284974">
      <w:pPr>
        <w:spacing w:line="240" w:lineRule="auto"/>
        <w:jc w:val="center"/>
        <w:rPr>
          <w:rFonts w:ascii="Verdana" w:hAnsi="Verdana" w:cs="Tahoma"/>
          <w:b/>
          <w:sz w:val="28"/>
          <w:szCs w:val="28"/>
          <w:u w:val="single"/>
        </w:rPr>
      </w:pPr>
      <w:r w:rsidRPr="00B65630">
        <w:rPr>
          <w:rFonts w:ascii="Verdana" w:hAnsi="Verdana" w:cs="Tahoma"/>
          <w:b/>
          <w:sz w:val="28"/>
          <w:szCs w:val="28"/>
          <w:u w:val="single"/>
        </w:rPr>
        <w:t>Convocatoria 2012</w:t>
      </w:r>
    </w:p>
    <w:p w:rsidR="00ED4161" w:rsidRPr="00B65630" w:rsidRDefault="00ED4161" w:rsidP="00A0599C">
      <w:pPr>
        <w:spacing w:line="360" w:lineRule="auto"/>
        <w:jc w:val="center"/>
        <w:rPr>
          <w:rFonts w:ascii="Verdana" w:hAnsi="Verdana" w:cs="Calibri"/>
          <w:bCs/>
          <w:szCs w:val="20"/>
          <w:lang w:val="es-ES"/>
        </w:rPr>
      </w:pPr>
    </w:p>
    <w:p w:rsidR="00A0599C" w:rsidRPr="00B65630" w:rsidRDefault="00A0599C" w:rsidP="00A0599C">
      <w:pPr>
        <w:spacing w:line="360" w:lineRule="auto"/>
        <w:jc w:val="center"/>
        <w:rPr>
          <w:rFonts w:ascii="Verdana" w:hAnsi="Verdana" w:cs="Calibri"/>
          <w:bCs/>
          <w:szCs w:val="20"/>
          <w:lang w:val="es-ES"/>
        </w:rPr>
      </w:pPr>
    </w:p>
    <w:p w:rsidR="00A0599C" w:rsidRPr="00B65630" w:rsidRDefault="00A0599C" w:rsidP="00A0599C">
      <w:pPr>
        <w:spacing w:line="360" w:lineRule="auto"/>
        <w:jc w:val="center"/>
        <w:rPr>
          <w:rFonts w:ascii="Verdana" w:hAnsi="Verdana" w:cs="Calibri"/>
          <w:bCs/>
          <w:szCs w:val="20"/>
          <w:lang w:val="es-ES"/>
        </w:rPr>
      </w:pPr>
    </w:p>
    <w:p w:rsidR="00A0599C" w:rsidRPr="00B65630" w:rsidRDefault="00A0599C" w:rsidP="00A0599C">
      <w:pPr>
        <w:spacing w:line="360" w:lineRule="auto"/>
        <w:jc w:val="center"/>
        <w:rPr>
          <w:rFonts w:ascii="Verdana" w:hAnsi="Verdana" w:cs="Calibri"/>
          <w:bCs/>
          <w:szCs w:val="20"/>
          <w:lang w:val="es-ES"/>
        </w:rPr>
      </w:pPr>
    </w:p>
    <w:p w:rsidR="00A0599C" w:rsidRPr="00B65630" w:rsidRDefault="00A0599C" w:rsidP="00A0599C">
      <w:pPr>
        <w:spacing w:line="360" w:lineRule="auto"/>
        <w:jc w:val="center"/>
        <w:rPr>
          <w:rFonts w:ascii="Verdana" w:hAnsi="Verdana" w:cs="Calibri"/>
          <w:bCs/>
          <w:szCs w:val="20"/>
          <w:lang w:val="es-ES"/>
        </w:rPr>
      </w:pPr>
    </w:p>
    <w:p w:rsidR="00A0599C" w:rsidRPr="00B65630" w:rsidRDefault="00A0599C" w:rsidP="00A0599C">
      <w:pPr>
        <w:jc w:val="center"/>
        <w:rPr>
          <w:rFonts w:ascii="Verdana" w:hAnsi="Verdana" w:cs="Tahoma"/>
          <w:b/>
          <w:bCs/>
          <w:sz w:val="28"/>
          <w:szCs w:val="28"/>
          <w:lang w:val="es-ES"/>
        </w:rPr>
      </w:pPr>
      <w:r w:rsidRPr="00B65630">
        <w:rPr>
          <w:rFonts w:ascii="Verdana" w:hAnsi="Verdana" w:cs="Tahoma"/>
          <w:b/>
          <w:bCs/>
          <w:sz w:val="28"/>
          <w:szCs w:val="28"/>
          <w:lang w:val="es-ES"/>
        </w:rPr>
        <w:t>Sección Educación Artística y Cultura</w:t>
      </w:r>
    </w:p>
    <w:p w:rsidR="00A0599C" w:rsidRPr="00B65630" w:rsidRDefault="00A0599C" w:rsidP="00A0599C">
      <w:pPr>
        <w:jc w:val="center"/>
        <w:rPr>
          <w:rFonts w:ascii="Verdana" w:hAnsi="Verdana" w:cs="Tahoma"/>
          <w:b/>
          <w:bCs/>
          <w:sz w:val="28"/>
          <w:szCs w:val="28"/>
          <w:lang w:val="es-ES"/>
        </w:rPr>
      </w:pPr>
      <w:r w:rsidRPr="00B65630">
        <w:rPr>
          <w:rFonts w:ascii="Verdana" w:hAnsi="Verdana" w:cs="Tahoma"/>
          <w:b/>
          <w:bCs/>
          <w:sz w:val="28"/>
          <w:szCs w:val="28"/>
          <w:lang w:val="es-ES"/>
        </w:rPr>
        <w:t>Abril 2012</w:t>
      </w:r>
      <w:r w:rsidRPr="00B65630">
        <w:rPr>
          <w:rFonts w:ascii="Verdana" w:hAnsi="Verdana" w:cs="Tahoma"/>
          <w:b/>
          <w:bCs/>
          <w:sz w:val="28"/>
          <w:szCs w:val="28"/>
          <w:lang w:val="es-ES"/>
        </w:rPr>
        <w:br w:type="page"/>
      </w:r>
    </w:p>
    <w:p w:rsidR="00396A33" w:rsidRPr="00B65630" w:rsidRDefault="00F00C47" w:rsidP="0069342A">
      <w:pPr>
        <w:spacing w:line="360" w:lineRule="auto"/>
        <w:jc w:val="both"/>
        <w:rPr>
          <w:rFonts w:ascii="Verdana" w:hAnsi="Verdana" w:cs="Calibri"/>
          <w:b/>
          <w:bCs/>
          <w:sz w:val="28"/>
          <w:szCs w:val="28"/>
          <w:lang w:val="es-ES"/>
        </w:rPr>
      </w:pPr>
      <w:r w:rsidRPr="00B65630">
        <w:rPr>
          <w:rFonts w:ascii="Verdana" w:hAnsi="Verdana" w:cs="Calibri"/>
          <w:b/>
          <w:bCs/>
          <w:sz w:val="28"/>
          <w:szCs w:val="28"/>
          <w:lang w:val="es-ES"/>
        </w:rPr>
        <w:lastRenderedPageBreak/>
        <w:t xml:space="preserve">1.- </w:t>
      </w:r>
      <w:r w:rsidR="00396A33" w:rsidRPr="00B65630">
        <w:rPr>
          <w:rFonts w:ascii="Verdana" w:hAnsi="Verdana" w:cs="Calibri"/>
          <w:b/>
          <w:bCs/>
          <w:sz w:val="28"/>
          <w:szCs w:val="28"/>
          <w:lang w:val="es-ES"/>
        </w:rPr>
        <w:t>Antecedentes del programa:</w:t>
      </w:r>
    </w:p>
    <w:p w:rsidR="00204E03" w:rsidRPr="0078459D" w:rsidRDefault="00204E03" w:rsidP="0069342A">
      <w:pPr>
        <w:spacing w:line="360" w:lineRule="auto"/>
        <w:jc w:val="both"/>
        <w:rPr>
          <w:rFonts w:ascii="Verdana" w:hAnsi="Verdana" w:cs="Calibri"/>
          <w:b/>
          <w:szCs w:val="20"/>
          <w:lang w:val="es-ES"/>
        </w:rPr>
      </w:pPr>
      <w:r w:rsidRPr="0078459D">
        <w:rPr>
          <w:rFonts w:ascii="Verdana" w:hAnsi="Verdana" w:cs="Calibri"/>
          <w:b/>
          <w:szCs w:val="20"/>
          <w:lang w:val="es-ES"/>
        </w:rPr>
        <w:t>Antecedentes:</w:t>
      </w:r>
    </w:p>
    <w:p w:rsidR="00396A33" w:rsidRPr="00B65630" w:rsidRDefault="00396A33" w:rsidP="0069342A">
      <w:pPr>
        <w:spacing w:line="360" w:lineRule="auto"/>
        <w:jc w:val="both"/>
        <w:rPr>
          <w:rFonts w:ascii="Verdana" w:hAnsi="Verdana" w:cs="Calibri"/>
          <w:bCs/>
          <w:szCs w:val="20"/>
          <w:lang w:val="es-ES"/>
        </w:rPr>
      </w:pPr>
      <w:r w:rsidRPr="00B65630">
        <w:rPr>
          <w:rFonts w:ascii="Verdana" w:hAnsi="Verdana" w:cs="Calibri"/>
          <w:szCs w:val="20"/>
          <w:lang w:val="es-ES"/>
        </w:rPr>
        <w:t xml:space="preserve">El </w:t>
      </w:r>
      <w:r w:rsidR="00204E03">
        <w:rPr>
          <w:rFonts w:ascii="Verdana" w:hAnsi="Verdana" w:cs="Calibri"/>
          <w:szCs w:val="20"/>
          <w:lang w:val="es-ES"/>
        </w:rPr>
        <w:t>Fondo Nacional de Escuelas Artísticas (</w:t>
      </w:r>
      <w:r w:rsidRPr="00B65630">
        <w:rPr>
          <w:rFonts w:ascii="Verdana" w:hAnsi="Verdana" w:cs="Calibri"/>
          <w:szCs w:val="20"/>
          <w:lang w:val="es-ES"/>
        </w:rPr>
        <w:t>FNEA</w:t>
      </w:r>
      <w:r w:rsidR="00204E03">
        <w:rPr>
          <w:rFonts w:ascii="Verdana" w:hAnsi="Verdana" w:cs="Calibri"/>
          <w:szCs w:val="20"/>
          <w:lang w:val="es-ES"/>
        </w:rPr>
        <w:t xml:space="preserve">) creado el año </w:t>
      </w:r>
      <w:r w:rsidR="00083B38">
        <w:rPr>
          <w:rFonts w:ascii="Verdana" w:hAnsi="Verdana" w:cs="Calibri"/>
          <w:szCs w:val="20"/>
          <w:lang w:val="es-ES"/>
        </w:rPr>
        <w:t>1996</w:t>
      </w:r>
      <w:r w:rsidR="00204E03">
        <w:rPr>
          <w:rFonts w:ascii="Verdana" w:hAnsi="Verdana" w:cs="Calibri"/>
          <w:szCs w:val="20"/>
          <w:lang w:val="es-ES"/>
        </w:rPr>
        <w:t xml:space="preserve">, </w:t>
      </w:r>
      <w:r w:rsidRPr="00B65630">
        <w:rPr>
          <w:rFonts w:ascii="Verdana" w:hAnsi="Verdana" w:cs="Calibri"/>
          <w:szCs w:val="20"/>
          <w:lang w:val="es-ES"/>
        </w:rPr>
        <w:t xml:space="preserve"> destinaba su convocatoria sólo a establecimientos educacionales reconocidos por </w:t>
      </w:r>
      <w:proofErr w:type="spellStart"/>
      <w:r w:rsidRPr="00B65630">
        <w:rPr>
          <w:rFonts w:ascii="Verdana" w:hAnsi="Verdana" w:cs="Calibri"/>
          <w:szCs w:val="20"/>
          <w:lang w:val="es-ES"/>
        </w:rPr>
        <w:t>Mineduc</w:t>
      </w:r>
      <w:proofErr w:type="spellEnd"/>
      <w:r w:rsidRPr="00B65630">
        <w:rPr>
          <w:rFonts w:ascii="Verdana" w:hAnsi="Verdana" w:cs="Calibri"/>
          <w:szCs w:val="20"/>
          <w:lang w:val="es-ES"/>
        </w:rPr>
        <w:t xml:space="preserve"> como “Escuelas Artísticas” (35) y aquellos reconocidos desde el Consejo como “en Transición” (14), correspondientes a educación formal y no formal. El año 2011 la Sección de Educación Artística asume un nuevo desafío, que es apuntar a </w:t>
      </w:r>
      <w:r w:rsidRPr="00B65630">
        <w:rPr>
          <w:rFonts w:ascii="Verdana" w:hAnsi="Verdana" w:cs="Calibri"/>
          <w:bCs/>
          <w:szCs w:val="20"/>
        </w:rPr>
        <w:t>que las instituciones educativas que incorporan el arte en su proyecto educativo y atienden a población en edad escolar, dispongan de más fuentes de financiamiento. Por tanto se plantea una reformulación que amplía la población objetivo, para llegar con mayor cantidad de financiamiento, a las instituciones educativas del sistema formal y no formal.</w:t>
      </w:r>
      <w:r w:rsidRPr="00B65630">
        <w:rPr>
          <w:rFonts w:ascii="Verdana" w:hAnsi="Verdana" w:cs="Calibri"/>
          <w:bCs/>
          <w:szCs w:val="20"/>
          <w:lang w:val="es-ES"/>
        </w:rPr>
        <w:t xml:space="preserve"> </w:t>
      </w:r>
      <w:r w:rsidR="00204E03">
        <w:rPr>
          <w:rFonts w:ascii="Verdana" w:hAnsi="Verdana" w:cs="Calibri"/>
          <w:bCs/>
          <w:szCs w:val="20"/>
          <w:lang w:val="es-ES"/>
        </w:rPr>
        <w:t>Este cambio motiva y justifica el cambio de nombre del programa a Fondo de Fomento del Arte en la Educación (FAE).</w:t>
      </w:r>
    </w:p>
    <w:p w:rsidR="00ED4161" w:rsidRPr="00B65630" w:rsidRDefault="00396A33" w:rsidP="0069342A">
      <w:pPr>
        <w:spacing w:line="360" w:lineRule="auto"/>
        <w:jc w:val="both"/>
        <w:rPr>
          <w:rFonts w:ascii="Verdana" w:hAnsi="Verdana" w:cs="Calibri"/>
          <w:bCs/>
          <w:szCs w:val="20"/>
          <w:lang w:val="es-ES"/>
        </w:rPr>
      </w:pPr>
      <w:r w:rsidRPr="00B65630">
        <w:rPr>
          <w:rFonts w:ascii="Verdana" w:hAnsi="Verdana" w:cs="Calibri"/>
          <w:szCs w:val="20"/>
          <w:lang w:val="es-ES"/>
        </w:rPr>
        <w:t xml:space="preserve">La estrategia actual </w:t>
      </w:r>
      <w:r w:rsidR="00204E03">
        <w:rPr>
          <w:rFonts w:ascii="Verdana" w:hAnsi="Verdana" w:cs="Calibri"/>
          <w:szCs w:val="20"/>
          <w:lang w:val="es-ES"/>
        </w:rPr>
        <w:t xml:space="preserve">del FAE </w:t>
      </w:r>
      <w:r w:rsidRPr="00B65630">
        <w:rPr>
          <w:rFonts w:ascii="Verdana" w:hAnsi="Verdana" w:cs="Calibri"/>
          <w:szCs w:val="20"/>
          <w:lang w:val="es-ES"/>
        </w:rPr>
        <w:t xml:space="preserve">amplía la convocatoria a instituciones que alberguen a estudiantes que tengan condición de vulnerabilidad y que desarrollen proyectos educativos con componente artístico.  Esta reformulación apunta a ser un fondo que entrega recursos financieros a través de 3 categorías: (1) </w:t>
      </w:r>
      <w:r w:rsidRPr="00B65630">
        <w:rPr>
          <w:rFonts w:ascii="Verdana" w:hAnsi="Verdana" w:cs="Calibri"/>
          <w:b/>
          <w:szCs w:val="20"/>
          <w:lang w:val="es-ES"/>
        </w:rPr>
        <w:t>Desarrollo de la educación artística especializada</w:t>
      </w:r>
      <w:r w:rsidRPr="00B65630">
        <w:rPr>
          <w:rFonts w:ascii="Verdana" w:hAnsi="Verdana" w:cs="Calibri"/>
          <w:szCs w:val="20"/>
          <w:lang w:val="es-ES"/>
        </w:rPr>
        <w:t xml:space="preserve">; escuelas y liceos artísticos reconocidos por </w:t>
      </w:r>
      <w:proofErr w:type="spellStart"/>
      <w:r w:rsidRPr="00B65630">
        <w:rPr>
          <w:rFonts w:ascii="Verdana" w:hAnsi="Verdana" w:cs="Calibri"/>
          <w:szCs w:val="20"/>
          <w:lang w:val="es-ES"/>
        </w:rPr>
        <w:t>Mineduc</w:t>
      </w:r>
      <w:proofErr w:type="spellEnd"/>
      <w:r w:rsidRPr="00B65630">
        <w:rPr>
          <w:rFonts w:ascii="Verdana" w:hAnsi="Verdana" w:cs="Calibri"/>
          <w:szCs w:val="20"/>
          <w:lang w:val="es-ES"/>
        </w:rPr>
        <w:t xml:space="preserve"> y formación artística diferenciada; (2) </w:t>
      </w:r>
      <w:r w:rsidRPr="00B65630">
        <w:rPr>
          <w:rFonts w:ascii="Verdana" w:hAnsi="Verdana" w:cs="Calibri"/>
          <w:b/>
          <w:szCs w:val="20"/>
          <w:lang w:val="es-ES"/>
        </w:rPr>
        <w:t>Desarrollo del Arte en el Currículum General;</w:t>
      </w:r>
      <w:r w:rsidRPr="00B65630">
        <w:rPr>
          <w:rFonts w:ascii="Verdana" w:hAnsi="Verdana" w:cs="Calibri"/>
          <w:szCs w:val="20"/>
          <w:lang w:val="es-ES"/>
        </w:rPr>
        <w:t xml:space="preserve"> escuelas y liceos que dentro de sus Proyectos Educativos incorporan el arte y la cultura como herramientas didácticas – pedagógicas para el desarrollo integral de sus educandos como complemento al currículum general; y (3) </w:t>
      </w:r>
      <w:r w:rsidRPr="00B65630">
        <w:rPr>
          <w:rFonts w:ascii="Verdana" w:hAnsi="Verdana" w:cs="Calibri"/>
          <w:b/>
          <w:szCs w:val="20"/>
          <w:lang w:val="es-ES"/>
        </w:rPr>
        <w:t>Desarrollo del Arte en la Educación No Formal</w:t>
      </w:r>
      <w:r w:rsidRPr="00B65630">
        <w:rPr>
          <w:rFonts w:ascii="Verdana" w:hAnsi="Verdana" w:cs="Calibri"/>
          <w:szCs w:val="20"/>
          <w:lang w:val="es-ES"/>
        </w:rPr>
        <w:t xml:space="preserve">; centros culturales, corporaciones, conservatorios, entre otros. Los proyectos se presentan a 4 líneas de postulación: </w:t>
      </w:r>
      <w:r w:rsidRPr="00B65630">
        <w:rPr>
          <w:rFonts w:ascii="Verdana" w:hAnsi="Verdana" w:cs="Calibri"/>
          <w:szCs w:val="20"/>
          <w:u w:val="single"/>
          <w:lang w:val="es-ES"/>
        </w:rPr>
        <w:t>Perfeccionamiento Docente y Directivo</w:t>
      </w:r>
      <w:r w:rsidRPr="00B65630">
        <w:rPr>
          <w:rFonts w:ascii="Verdana" w:hAnsi="Verdana" w:cs="Calibri"/>
          <w:szCs w:val="20"/>
          <w:lang w:val="es-ES"/>
        </w:rPr>
        <w:t xml:space="preserve">, </w:t>
      </w:r>
      <w:r w:rsidRPr="00B65630">
        <w:rPr>
          <w:rFonts w:ascii="Verdana" w:hAnsi="Verdana" w:cs="Calibri"/>
          <w:szCs w:val="20"/>
          <w:u w:val="single"/>
          <w:lang w:val="es-ES"/>
        </w:rPr>
        <w:t>Implementación Curricular</w:t>
      </w:r>
      <w:r w:rsidRPr="00B65630">
        <w:rPr>
          <w:rFonts w:ascii="Verdana" w:hAnsi="Verdana" w:cs="Calibri"/>
          <w:szCs w:val="20"/>
          <w:lang w:val="es-ES"/>
        </w:rPr>
        <w:t xml:space="preserve">, </w:t>
      </w:r>
      <w:r w:rsidRPr="00B65630">
        <w:rPr>
          <w:rFonts w:ascii="Verdana" w:hAnsi="Verdana" w:cs="Calibri"/>
          <w:szCs w:val="20"/>
          <w:u w:val="single"/>
          <w:lang w:val="es-ES"/>
        </w:rPr>
        <w:t>Extensión y Difusión</w:t>
      </w:r>
      <w:r w:rsidRPr="00B65630">
        <w:rPr>
          <w:rFonts w:ascii="Verdana" w:hAnsi="Verdana" w:cs="Calibri"/>
          <w:szCs w:val="20"/>
          <w:lang w:val="es-ES"/>
        </w:rPr>
        <w:t xml:space="preserve"> y </w:t>
      </w:r>
      <w:r w:rsidRPr="00B65630">
        <w:rPr>
          <w:rFonts w:ascii="Verdana" w:hAnsi="Verdana" w:cs="Calibri"/>
          <w:szCs w:val="20"/>
          <w:u w:val="single"/>
          <w:lang w:val="es-ES"/>
        </w:rPr>
        <w:t xml:space="preserve">Equipamiento y Material de Enseñanza. </w:t>
      </w:r>
      <w:r w:rsidRPr="00B65630">
        <w:rPr>
          <w:rFonts w:ascii="Verdana" w:hAnsi="Verdana" w:cs="Calibri"/>
          <w:szCs w:val="20"/>
          <w:lang w:val="es-ES"/>
        </w:rPr>
        <w:t xml:space="preserve">Las instituciones educativas que quieran adjudicar, deben presentar proyectos artísticos sistemáticos que fomenten el arte en el proceso de aprendizaje y que </w:t>
      </w:r>
      <w:r w:rsidRPr="00B65630">
        <w:rPr>
          <w:rFonts w:ascii="Verdana" w:hAnsi="Verdana" w:cs="Calibri"/>
          <w:szCs w:val="20"/>
          <w:lang w:val="es-ES"/>
        </w:rPr>
        <w:lastRenderedPageBreak/>
        <w:t>consideren el arte como una herramienta complementaria para la formación de los niños, niñas y jóvenes. Éstas deben tener el apoyo de la comunidad escolar y su sostenedor, y acreditar una duración mínima de dos años de funcionamiento.</w:t>
      </w:r>
      <w:r w:rsidR="00ED4161" w:rsidRPr="00B65630">
        <w:rPr>
          <w:rFonts w:ascii="Verdana" w:hAnsi="Verdana" w:cs="Calibri"/>
          <w:bCs/>
          <w:szCs w:val="20"/>
          <w:lang w:val="es-ES"/>
        </w:rPr>
        <w:t xml:space="preserve"> </w:t>
      </w:r>
    </w:p>
    <w:p w:rsidR="00396A33" w:rsidRPr="00B65630" w:rsidRDefault="00ED4161" w:rsidP="0069342A">
      <w:pPr>
        <w:spacing w:line="360" w:lineRule="auto"/>
        <w:jc w:val="both"/>
        <w:rPr>
          <w:rFonts w:ascii="Verdana" w:hAnsi="Verdana" w:cs="Calibri"/>
          <w:bCs/>
          <w:szCs w:val="20"/>
          <w:lang w:val="es-ES"/>
        </w:rPr>
      </w:pPr>
      <w:r w:rsidRPr="00B65630">
        <w:rPr>
          <w:rFonts w:ascii="Verdana" w:hAnsi="Verdana" w:cs="Calibri"/>
          <w:bCs/>
          <w:szCs w:val="20"/>
          <w:lang w:val="es-ES"/>
        </w:rPr>
        <w:t>El fin de este programa es: Contribuir al fomento del arte en la educación formal y no formal, en sus diferentes lenguajes (o dominios) como herramienta en el proceso de desarrollo y de enseñanza - aprendizaje de niños, niñas y jóvenes.</w:t>
      </w:r>
    </w:p>
    <w:p w:rsidR="00F00C47" w:rsidRPr="00B65630" w:rsidRDefault="00396A33" w:rsidP="0069342A">
      <w:pPr>
        <w:spacing w:line="360" w:lineRule="auto"/>
        <w:jc w:val="both"/>
        <w:rPr>
          <w:rFonts w:ascii="Verdana" w:hAnsi="Verdana"/>
          <w:lang w:val="es-MX"/>
        </w:rPr>
      </w:pPr>
      <w:r w:rsidRPr="00B65630">
        <w:rPr>
          <w:rFonts w:ascii="Verdana" w:hAnsi="Verdana" w:cs="Calibri"/>
          <w:bCs/>
          <w:szCs w:val="20"/>
          <w:lang w:val="es-ES"/>
        </w:rPr>
        <w:t>La convocatori</w:t>
      </w:r>
      <w:r w:rsidR="00ED4161" w:rsidRPr="00B65630">
        <w:rPr>
          <w:rFonts w:ascii="Verdana" w:hAnsi="Verdana" w:cs="Calibri"/>
          <w:bCs/>
          <w:szCs w:val="20"/>
          <w:lang w:val="es-ES"/>
        </w:rPr>
        <w:t>a 2012 se lanza el 1 de octubre hasta e</w:t>
      </w:r>
      <w:r w:rsidR="00ED3809" w:rsidRPr="00B65630">
        <w:rPr>
          <w:rFonts w:ascii="Verdana" w:hAnsi="Verdana" w:cs="Calibri"/>
          <w:bCs/>
          <w:szCs w:val="20"/>
          <w:lang w:val="es-ES"/>
        </w:rPr>
        <w:t xml:space="preserve">l 20 de noviembre oficialmente. </w:t>
      </w:r>
      <w:r w:rsidR="00ED4161" w:rsidRPr="00B65630">
        <w:rPr>
          <w:rFonts w:ascii="Verdana" w:hAnsi="Verdana" w:cs="Calibri"/>
          <w:bCs/>
          <w:szCs w:val="20"/>
          <w:lang w:val="es-ES"/>
        </w:rPr>
        <w:t xml:space="preserve">Posteriormente a decisiones institucionales se solicita reabrir el FAE hasta el </w:t>
      </w:r>
      <w:r w:rsidR="00ED3809" w:rsidRPr="00B65630">
        <w:rPr>
          <w:rFonts w:ascii="Verdana" w:hAnsi="Verdana" w:cs="Calibri"/>
          <w:bCs/>
          <w:szCs w:val="20"/>
          <w:lang w:val="es-ES"/>
        </w:rPr>
        <w:t>7 diciembre.</w:t>
      </w:r>
      <w:r w:rsidR="0069342A" w:rsidRPr="00B65630">
        <w:rPr>
          <w:rFonts w:ascii="Verdana" w:hAnsi="Verdana"/>
          <w:lang w:val="es-MX"/>
        </w:rPr>
        <w:t xml:space="preserve"> Este año el Fondo de Fomento a la Educación, tuvo un aumento del 65% de postulaciones respecto del año anterior.  Este año se entregaron 466.907.000 pesos.</w:t>
      </w:r>
    </w:p>
    <w:p w:rsidR="00ED4161" w:rsidRPr="00B65630" w:rsidRDefault="00F00C47" w:rsidP="0069342A">
      <w:pPr>
        <w:spacing w:line="360" w:lineRule="auto"/>
        <w:rPr>
          <w:rFonts w:ascii="Verdana" w:hAnsi="Verdana" w:cs="Calibri"/>
          <w:bCs/>
          <w:sz w:val="28"/>
          <w:szCs w:val="28"/>
          <w:lang w:val="es-ES"/>
        </w:rPr>
      </w:pPr>
      <w:r w:rsidRPr="00B65630">
        <w:rPr>
          <w:rFonts w:ascii="Verdana" w:hAnsi="Verdana" w:cs="Calibri"/>
          <w:b/>
          <w:bCs/>
          <w:sz w:val="28"/>
          <w:szCs w:val="28"/>
          <w:lang w:val="es-ES"/>
        </w:rPr>
        <w:t xml:space="preserve">2.- </w:t>
      </w:r>
      <w:r w:rsidR="00ED4161" w:rsidRPr="00B65630">
        <w:rPr>
          <w:rFonts w:ascii="Verdana" w:hAnsi="Verdana" w:cs="Calibri"/>
          <w:b/>
          <w:bCs/>
          <w:sz w:val="28"/>
          <w:szCs w:val="28"/>
          <w:lang w:val="es-ES"/>
        </w:rPr>
        <w:t>Proceso de difusión</w:t>
      </w:r>
      <w:r w:rsidR="00ED4161" w:rsidRPr="00B65630">
        <w:rPr>
          <w:rFonts w:ascii="Verdana" w:hAnsi="Verdana" w:cs="Calibri"/>
          <w:bCs/>
          <w:sz w:val="28"/>
          <w:szCs w:val="28"/>
          <w:lang w:val="es-ES"/>
        </w:rPr>
        <w:t xml:space="preserve">: </w:t>
      </w:r>
    </w:p>
    <w:p w:rsidR="00577EAE" w:rsidRPr="00B65630" w:rsidRDefault="00ED4161" w:rsidP="0069342A">
      <w:pPr>
        <w:autoSpaceDE w:val="0"/>
        <w:autoSpaceDN w:val="0"/>
        <w:adjustRightInd w:val="0"/>
        <w:spacing w:line="360" w:lineRule="auto"/>
        <w:jc w:val="both"/>
        <w:rPr>
          <w:rFonts w:ascii="Verdana" w:hAnsi="Verdana" w:cs="Arial"/>
          <w:iCs/>
        </w:rPr>
      </w:pPr>
      <w:r w:rsidRPr="00B65630">
        <w:rPr>
          <w:rFonts w:ascii="Verdana" w:hAnsi="Verdana" w:cs="Calibri"/>
          <w:bCs/>
          <w:szCs w:val="20"/>
          <w:lang w:val="es-ES"/>
        </w:rPr>
        <w:t xml:space="preserve">Se </w:t>
      </w:r>
      <w:r w:rsidR="00577EAE" w:rsidRPr="00B65630">
        <w:rPr>
          <w:rFonts w:ascii="Verdana" w:hAnsi="Verdana" w:cs="Calibri"/>
          <w:bCs/>
          <w:szCs w:val="20"/>
          <w:lang w:val="es-ES"/>
        </w:rPr>
        <w:t>diseñó</w:t>
      </w:r>
      <w:r w:rsidRPr="00B65630">
        <w:rPr>
          <w:rFonts w:ascii="Verdana" w:hAnsi="Verdana" w:cs="Calibri"/>
          <w:bCs/>
          <w:szCs w:val="20"/>
          <w:lang w:val="es-ES"/>
        </w:rPr>
        <w:t xml:space="preserve"> una estrategia de difusión que tenía por objetivo promover la postulación al FAE, a través de las siguientes ideas fuerza: </w:t>
      </w:r>
    </w:p>
    <w:p w:rsidR="00577EAE" w:rsidRPr="00B65630" w:rsidRDefault="00ED4161" w:rsidP="0069342A">
      <w:pPr>
        <w:pStyle w:val="Prrafodelista"/>
        <w:numPr>
          <w:ilvl w:val="0"/>
          <w:numId w:val="2"/>
        </w:numPr>
        <w:autoSpaceDE w:val="0"/>
        <w:autoSpaceDN w:val="0"/>
        <w:adjustRightInd w:val="0"/>
        <w:spacing w:line="360" w:lineRule="auto"/>
        <w:ind w:left="284" w:hanging="284"/>
        <w:jc w:val="both"/>
        <w:rPr>
          <w:rFonts w:ascii="Verdana" w:hAnsi="Verdana" w:cstheme="minorHAnsi"/>
          <w:iCs/>
        </w:rPr>
      </w:pPr>
      <w:r w:rsidRPr="00B65630">
        <w:rPr>
          <w:rFonts w:ascii="Verdana" w:hAnsi="Verdana" w:cstheme="minorHAnsi"/>
          <w:iCs/>
        </w:rPr>
        <w:t>Aporte de la educación artística al desarrollo integral de los alumnos</w:t>
      </w:r>
      <w:r w:rsidR="00577EAE" w:rsidRPr="00B65630">
        <w:rPr>
          <w:rFonts w:ascii="Verdana" w:hAnsi="Verdana" w:cstheme="minorHAnsi"/>
          <w:iCs/>
        </w:rPr>
        <w:t>.</w:t>
      </w:r>
    </w:p>
    <w:p w:rsidR="00ED4161" w:rsidRPr="00B65630" w:rsidRDefault="00ED4161" w:rsidP="0069342A">
      <w:pPr>
        <w:pStyle w:val="Prrafodelista"/>
        <w:numPr>
          <w:ilvl w:val="0"/>
          <w:numId w:val="2"/>
        </w:numPr>
        <w:autoSpaceDE w:val="0"/>
        <w:autoSpaceDN w:val="0"/>
        <w:adjustRightInd w:val="0"/>
        <w:spacing w:line="360" w:lineRule="auto"/>
        <w:ind w:left="284" w:hanging="284"/>
        <w:jc w:val="both"/>
        <w:rPr>
          <w:rFonts w:ascii="Verdana" w:hAnsi="Verdana" w:cstheme="minorHAnsi"/>
          <w:iCs/>
        </w:rPr>
      </w:pPr>
      <w:r w:rsidRPr="00B65630">
        <w:rPr>
          <w:rFonts w:ascii="Verdana" w:hAnsi="Verdana" w:cstheme="minorHAnsi"/>
          <w:iCs/>
        </w:rPr>
        <w:t xml:space="preserve">Fomento del arte en la educación formal y no formal. </w:t>
      </w:r>
    </w:p>
    <w:p w:rsidR="00ED4161" w:rsidRPr="00B65630" w:rsidRDefault="00ED4161" w:rsidP="0069342A">
      <w:pPr>
        <w:pStyle w:val="Prrafodelista"/>
        <w:numPr>
          <w:ilvl w:val="0"/>
          <w:numId w:val="2"/>
        </w:numPr>
        <w:autoSpaceDE w:val="0"/>
        <w:autoSpaceDN w:val="0"/>
        <w:adjustRightInd w:val="0"/>
        <w:spacing w:line="360" w:lineRule="auto"/>
        <w:ind w:left="284" w:hanging="284"/>
        <w:jc w:val="both"/>
        <w:rPr>
          <w:rFonts w:ascii="Verdana" w:hAnsi="Verdana" w:cstheme="minorHAnsi"/>
          <w:iCs/>
        </w:rPr>
      </w:pPr>
      <w:r w:rsidRPr="00B65630">
        <w:rPr>
          <w:rFonts w:ascii="Verdana" w:hAnsi="Verdana" w:cstheme="minorHAnsi"/>
          <w:iCs/>
        </w:rPr>
        <w:t>Apertura de la convocatoria 2012, por segunda vez</w:t>
      </w:r>
      <w:r w:rsidR="00577EAE" w:rsidRPr="00B65630">
        <w:rPr>
          <w:rFonts w:ascii="Verdana" w:hAnsi="Verdana" w:cstheme="minorHAnsi"/>
          <w:iCs/>
        </w:rPr>
        <w:t xml:space="preserve"> </w:t>
      </w:r>
      <w:r w:rsidRPr="00B65630">
        <w:rPr>
          <w:rFonts w:ascii="Verdana" w:hAnsi="Verdana" w:cstheme="minorHAnsi"/>
          <w:iCs/>
        </w:rPr>
        <w:t xml:space="preserve">a instituciones que fomenten el arte y la cultura en el proceso formativo de niños, niñas y jóvenes. </w:t>
      </w:r>
      <w:r w:rsidR="00577EAE" w:rsidRPr="00B65630">
        <w:rPr>
          <w:rFonts w:ascii="Verdana" w:hAnsi="Verdana" w:cstheme="minorHAnsi"/>
          <w:iCs/>
        </w:rPr>
        <w:t>(</w:t>
      </w:r>
      <w:r w:rsidRPr="00B65630">
        <w:rPr>
          <w:rFonts w:ascii="Verdana" w:hAnsi="Verdana" w:cstheme="minorHAnsi"/>
          <w:iCs/>
        </w:rPr>
        <w:t>La primera fue en la convocatoria 2011, en la cual se convocó a escuelas y liceos que fomentaran el arte y la cultura a través de su proyecto educativo</w:t>
      </w:r>
      <w:r w:rsidR="00577EAE" w:rsidRPr="00B65630">
        <w:rPr>
          <w:rFonts w:ascii="Verdana" w:hAnsi="Verdana" w:cstheme="minorHAnsi"/>
          <w:iCs/>
        </w:rPr>
        <w:t>)</w:t>
      </w:r>
      <w:r w:rsidRPr="00B65630">
        <w:rPr>
          <w:rFonts w:ascii="Verdana" w:hAnsi="Verdana" w:cstheme="minorHAnsi"/>
          <w:iCs/>
        </w:rPr>
        <w:t>.</w:t>
      </w:r>
    </w:p>
    <w:p w:rsidR="00ED4161" w:rsidRPr="00B65630" w:rsidRDefault="00ED4161" w:rsidP="0069342A">
      <w:pPr>
        <w:pStyle w:val="Prrafodelista"/>
        <w:numPr>
          <w:ilvl w:val="0"/>
          <w:numId w:val="2"/>
        </w:numPr>
        <w:autoSpaceDE w:val="0"/>
        <w:autoSpaceDN w:val="0"/>
        <w:adjustRightInd w:val="0"/>
        <w:spacing w:line="360" w:lineRule="auto"/>
        <w:ind w:left="284" w:hanging="284"/>
        <w:jc w:val="both"/>
        <w:rPr>
          <w:rFonts w:ascii="Verdana" w:hAnsi="Verdana" w:cstheme="minorHAnsi"/>
          <w:iCs/>
        </w:rPr>
      </w:pPr>
      <w:r w:rsidRPr="00B65630">
        <w:rPr>
          <w:rFonts w:ascii="Verdana" w:hAnsi="Verdana" w:cstheme="minorHAnsi"/>
          <w:iCs/>
        </w:rPr>
        <w:t xml:space="preserve">En esta convocatoria el Fondo de Fomento al Arte en la Educación, junto con invitar a las escuelas que han desarrollado históricamente formación artística convoca a nuevas escuelas, liceos e instituciones a postular para sumar a más instituciones educativas privadas sin fines de lucro que fomentan el arte y la cultura.  </w:t>
      </w:r>
    </w:p>
    <w:p w:rsidR="00ED4161" w:rsidRPr="00B65630" w:rsidRDefault="00ED4161" w:rsidP="0069342A">
      <w:pPr>
        <w:pStyle w:val="Prrafodelista"/>
        <w:numPr>
          <w:ilvl w:val="0"/>
          <w:numId w:val="2"/>
        </w:numPr>
        <w:autoSpaceDE w:val="0"/>
        <w:autoSpaceDN w:val="0"/>
        <w:adjustRightInd w:val="0"/>
        <w:spacing w:line="360" w:lineRule="auto"/>
        <w:ind w:left="284" w:hanging="284"/>
        <w:jc w:val="both"/>
        <w:rPr>
          <w:rFonts w:ascii="Verdana" w:hAnsi="Verdana" w:cstheme="minorHAnsi"/>
          <w:iCs/>
        </w:rPr>
      </w:pPr>
      <w:r w:rsidRPr="00B65630">
        <w:rPr>
          <w:rFonts w:ascii="Verdana" w:hAnsi="Verdana" w:cstheme="minorHAnsi"/>
          <w:iCs/>
        </w:rPr>
        <w:lastRenderedPageBreak/>
        <w:t>Fondo de Fomento al Arte en la Educación (FAE), ha cambiado su nombre para reflejar la apertura que ha tenido en éstas dos últimas convocatorias. La importancia de este Fondo radica en que es la única iniciativa estatal que mejora las condiciones internas de instituciones formales y no formales, para el desarrollo de proyectos artísticos en el proceso educativo.</w:t>
      </w:r>
    </w:p>
    <w:p w:rsidR="00577EAE" w:rsidRPr="00B65630" w:rsidRDefault="00577EAE" w:rsidP="0069342A">
      <w:pPr>
        <w:autoSpaceDE w:val="0"/>
        <w:autoSpaceDN w:val="0"/>
        <w:adjustRightInd w:val="0"/>
        <w:spacing w:line="360" w:lineRule="auto"/>
        <w:jc w:val="both"/>
        <w:rPr>
          <w:rFonts w:ascii="Verdana" w:hAnsi="Verdana" w:cstheme="minorHAnsi"/>
          <w:iCs/>
        </w:rPr>
      </w:pPr>
      <w:r w:rsidRPr="00B65630">
        <w:rPr>
          <w:rFonts w:ascii="Verdana" w:hAnsi="Verdana" w:cstheme="minorHAnsi"/>
          <w:iCs/>
        </w:rPr>
        <w:t xml:space="preserve">Este plan de difusión incluyó las siguientes actividades: </w:t>
      </w:r>
    </w:p>
    <w:tbl>
      <w:tblPr>
        <w:tblStyle w:val="Cuadrculavistosa-nfasis1"/>
        <w:tblW w:w="8818" w:type="dxa"/>
        <w:jc w:val="center"/>
        <w:tblLayout w:type="fixed"/>
        <w:tblLook w:val="04A0" w:firstRow="1" w:lastRow="0" w:firstColumn="1" w:lastColumn="0" w:noHBand="0" w:noVBand="1"/>
      </w:tblPr>
      <w:tblGrid>
        <w:gridCol w:w="1873"/>
        <w:gridCol w:w="2693"/>
        <w:gridCol w:w="1984"/>
        <w:gridCol w:w="2268"/>
      </w:tblGrid>
      <w:tr w:rsidR="00577EAE" w:rsidRPr="00B65630" w:rsidTr="00577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3" w:type="dxa"/>
          </w:tcPr>
          <w:p w:rsidR="00577EAE" w:rsidRPr="00B65630" w:rsidRDefault="00577EAE" w:rsidP="0069342A">
            <w:pPr>
              <w:spacing w:line="360" w:lineRule="auto"/>
              <w:jc w:val="center"/>
              <w:rPr>
                <w:rFonts w:ascii="Verdana" w:hAnsi="Verdana" w:cstheme="minorHAnsi"/>
                <w:iCs/>
                <w:color w:val="auto"/>
                <w:sz w:val="16"/>
                <w:szCs w:val="16"/>
              </w:rPr>
            </w:pPr>
            <w:r w:rsidRPr="00B65630">
              <w:rPr>
                <w:rFonts w:ascii="Verdana" w:hAnsi="Verdana" w:cstheme="minorHAnsi"/>
                <w:iCs/>
                <w:color w:val="auto"/>
                <w:sz w:val="16"/>
                <w:szCs w:val="16"/>
              </w:rPr>
              <w:t>Actividad</w:t>
            </w:r>
          </w:p>
        </w:tc>
        <w:tc>
          <w:tcPr>
            <w:tcW w:w="2693" w:type="dxa"/>
          </w:tcPr>
          <w:p w:rsidR="00577EAE" w:rsidRPr="00B65630" w:rsidRDefault="00577EAE" w:rsidP="0069342A">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Destinatarios/as</w:t>
            </w:r>
          </w:p>
        </w:tc>
        <w:tc>
          <w:tcPr>
            <w:tcW w:w="1984" w:type="dxa"/>
          </w:tcPr>
          <w:p w:rsidR="00577EAE" w:rsidRPr="00B65630" w:rsidRDefault="00577EAE" w:rsidP="0069342A">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Fecha</w:t>
            </w:r>
          </w:p>
        </w:tc>
        <w:tc>
          <w:tcPr>
            <w:tcW w:w="2268" w:type="dxa"/>
          </w:tcPr>
          <w:p w:rsidR="00577EAE" w:rsidRPr="00B65630" w:rsidRDefault="00577EAE" w:rsidP="0069342A">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Responsable</w:t>
            </w:r>
          </w:p>
        </w:tc>
      </w:tr>
      <w:tr w:rsidR="00577EAE" w:rsidRPr="00B65630" w:rsidTr="00577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3" w:type="dxa"/>
          </w:tcPr>
          <w:p w:rsidR="00577EAE" w:rsidRPr="00B65630" w:rsidRDefault="00577EAE" w:rsidP="0069342A">
            <w:pPr>
              <w:spacing w:line="360" w:lineRule="auto"/>
              <w:jc w:val="both"/>
              <w:rPr>
                <w:rFonts w:ascii="Verdana" w:hAnsi="Verdana" w:cstheme="minorHAnsi"/>
                <w:b/>
                <w:iCs/>
                <w:sz w:val="16"/>
                <w:szCs w:val="16"/>
              </w:rPr>
            </w:pPr>
            <w:r w:rsidRPr="00B65630">
              <w:rPr>
                <w:rFonts w:ascii="Verdana" w:hAnsi="Verdana" w:cstheme="minorHAnsi"/>
                <w:b/>
                <w:iCs/>
                <w:sz w:val="16"/>
                <w:szCs w:val="16"/>
              </w:rPr>
              <w:t>Jornada Nacional de Directores/as de Escuelas y Liceos Artísticos</w:t>
            </w:r>
          </w:p>
        </w:tc>
        <w:tc>
          <w:tcPr>
            <w:tcW w:w="2693" w:type="dxa"/>
          </w:tcPr>
          <w:p w:rsidR="00577EAE" w:rsidRPr="00B65630" w:rsidRDefault="00577EAE"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45 instituciones educativas pertenecientes al Registro Nacional de Escuelas Artísticas del CNCA.</w:t>
            </w:r>
          </w:p>
        </w:tc>
        <w:tc>
          <w:tcPr>
            <w:tcW w:w="1984" w:type="dxa"/>
          </w:tcPr>
          <w:p w:rsidR="00577EAE" w:rsidRPr="00B65630" w:rsidRDefault="00577EAE"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4 – 6 de agosto de 2011</w:t>
            </w:r>
          </w:p>
        </w:tc>
        <w:tc>
          <w:tcPr>
            <w:tcW w:w="2268" w:type="dxa"/>
          </w:tcPr>
          <w:p w:rsidR="00577EAE" w:rsidRPr="00B65630" w:rsidRDefault="00577EAE"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Equipo Sección de Educación Artística y Cultura.</w:t>
            </w:r>
          </w:p>
        </w:tc>
      </w:tr>
      <w:tr w:rsidR="00ED3809" w:rsidRPr="00B65630" w:rsidTr="00577EAE">
        <w:trPr>
          <w:jc w:val="center"/>
        </w:trPr>
        <w:tc>
          <w:tcPr>
            <w:cnfStyle w:val="001000000000" w:firstRow="0" w:lastRow="0" w:firstColumn="1" w:lastColumn="0" w:oddVBand="0" w:evenVBand="0" w:oddHBand="0" w:evenHBand="0" w:firstRowFirstColumn="0" w:firstRowLastColumn="0" w:lastRowFirstColumn="0" w:lastRowLastColumn="0"/>
            <w:tcW w:w="1873" w:type="dxa"/>
            <w:vMerge w:val="restart"/>
          </w:tcPr>
          <w:p w:rsidR="00ED3809" w:rsidRPr="00B65630" w:rsidRDefault="00ED3809" w:rsidP="0069342A">
            <w:pPr>
              <w:spacing w:line="360" w:lineRule="auto"/>
              <w:jc w:val="both"/>
              <w:rPr>
                <w:rFonts w:ascii="Verdana" w:hAnsi="Verdana" w:cstheme="minorHAnsi"/>
                <w:b/>
                <w:iCs/>
                <w:sz w:val="16"/>
                <w:szCs w:val="16"/>
              </w:rPr>
            </w:pPr>
            <w:r w:rsidRPr="00B65630">
              <w:rPr>
                <w:rFonts w:ascii="Verdana" w:hAnsi="Verdana" w:cstheme="minorHAnsi"/>
                <w:b/>
                <w:iCs/>
                <w:sz w:val="16"/>
                <w:szCs w:val="16"/>
              </w:rPr>
              <w:t>Seminarios</w:t>
            </w:r>
          </w:p>
        </w:tc>
        <w:tc>
          <w:tcPr>
            <w:tcW w:w="2693" w:type="dxa"/>
          </w:tcPr>
          <w:p w:rsidR="00ED3809" w:rsidRPr="00B65630" w:rsidRDefault="00ED3809"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Instituciones educativas de las regiones de Magallanes.</w:t>
            </w:r>
          </w:p>
        </w:tc>
        <w:tc>
          <w:tcPr>
            <w:tcW w:w="1984" w:type="dxa"/>
          </w:tcPr>
          <w:p w:rsidR="00ED3809" w:rsidRPr="00B65630" w:rsidRDefault="00ED3809"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29 y 30 Agosto</w:t>
            </w:r>
          </w:p>
        </w:tc>
        <w:tc>
          <w:tcPr>
            <w:tcW w:w="2268" w:type="dxa"/>
          </w:tcPr>
          <w:p w:rsidR="00ED3809" w:rsidRPr="00B65630" w:rsidRDefault="00ED3809"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 xml:space="preserve">Organizado por CRCA Magallanes, e invitaron a Pablo Rojas y María Jesús Chaparro para exponer sobre Educación Artística. </w:t>
            </w:r>
          </w:p>
        </w:tc>
      </w:tr>
      <w:tr w:rsidR="00ED3809" w:rsidRPr="00B65630" w:rsidTr="00577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3" w:type="dxa"/>
            <w:vMerge/>
          </w:tcPr>
          <w:p w:rsidR="00ED3809" w:rsidRPr="00B65630" w:rsidRDefault="00ED3809" w:rsidP="0069342A">
            <w:pPr>
              <w:spacing w:line="360" w:lineRule="auto"/>
              <w:jc w:val="both"/>
              <w:rPr>
                <w:rFonts w:ascii="Verdana" w:hAnsi="Verdana" w:cstheme="minorHAnsi"/>
                <w:b/>
                <w:iCs/>
                <w:color w:val="FF0000"/>
                <w:sz w:val="16"/>
                <w:szCs w:val="16"/>
              </w:rPr>
            </w:pPr>
          </w:p>
        </w:tc>
        <w:tc>
          <w:tcPr>
            <w:tcW w:w="2693" w:type="dxa"/>
          </w:tcPr>
          <w:p w:rsidR="00ED3809" w:rsidRPr="00B65630" w:rsidRDefault="00ED3809"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Instituciones educativas de la región de O´Higgins.</w:t>
            </w:r>
          </w:p>
        </w:tc>
        <w:tc>
          <w:tcPr>
            <w:tcW w:w="1984" w:type="dxa"/>
          </w:tcPr>
          <w:p w:rsidR="00ED3809" w:rsidRPr="00B65630" w:rsidRDefault="00ED3809"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28 de Septiembre</w:t>
            </w:r>
          </w:p>
        </w:tc>
        <w:tc>
          <w:tcPr>
            <w:tcW w:w="2268" w:type="dxa"/>
          </w:tcPr>
          <w:p w:rsidR="00ED3809" w:rsidRPr="00B65630" w:rsidRDefault="00ED3809"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 xml:space="preserve">Organizado por CRCA O´Higgins, para fortalecer la convocatoria y promoción del FAE. </w:t>
            </w:r>
          </w:p>
        </w:tc>
      </w:tr>
      <w:tr w:rsidR="00ED3809" w:rsidRPr="00B65630" w:rsidTr="00577EAE">
        <w:trPr>
          <w:jc w:val="center"/>
        </w:trPr>
        <w:tc>
          <w:tcPr>
            <w:cnfStyle w:val="001000000000" w:firstRow="0" w:lastRow="0" w:firstColumn="1" w:lastColumn="0" w:oddVBand="0" w:evenVBand="0" w:oddHBand="0" w:evenHBand="0" w:firstRowFirstColumn="0" w:firstRowLastColumn="0" w:lastRowFirstColumn="0" w:lastRowLastColumn="0"/>
            <w:tcW w:w="1873" w:type="dxa"/>
            <w:vMerge/>
          </w:tcPr>
          <w:p w:rsidR="00ED3809" w:rsidRPr="00B65630" w:rsidRDefault="00ED3809" w:rsidP="0069342A">
            <w:pPr>
              <w:spacing w:line="360" w:lineRule="auto"/>
              <w:jc w:val="both"/>
              <w:rPr>
                <w:rFonts w:ascii="Verdana" w:hAnsi="Verdana" w:cstheme="minorHAnsi"/>
                <w:b/>
                <w:iCs/>
                <w:color w:val="FF0000"/>
                <w:sz w:val="16"/>
                <w:szCs w:val="16"/>
              </w:rPr>
            </w:pPr>
          </w:p>
        </w:tc>
        <w:tc>
          <w:tcPr>
            <w:tcW w:w="2693" w:type="dxa"/>
          </w:tcPr>
          <w:p w:rsidR="00ED3809" w:rsidRPr="00B65630" w:rsidRDefault="00ED3809"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 xml:space="preserve">Instituciones educativas de las regiones del </w:t>
            </w:r>
            <w:proofErr w:type="spellStart"/>
            <w:r w:rsidRPr="00B65630">
              <w:rPr>
                <w:rFonts w:ascii="Verdana" w:hAnsi="Verdana" w:cstheme="minorHAnsi"/>
                <w:iCs/>
                <w:sz w:val="16"/>
                <w:szCs w:val="16"/>
              </w:rPr>
              <w:t>Bíobío</w:t>
            </w:r>
            <w:proofErr w:type="spellEnd"/>
            <w:r w:rsidRPr="00B65630">
              <w:rPr>
                <w:rFonts w:ascii="Verdana" w:hAnsi="Verdana" w:cstheme="minorHAnsi"/>
                <w:iCs/>
                <w:sz w:val="16"/>
                <w:szCs w:val="16"/>
              </w:rPr>
              <w:t>.</w:t>
            </w:r>
          </w:p>
        </w:tc>
        <w:tc>
          <w:tcPr>
            <w:tcW w:w="1984" w:type="dxa"/>
          </w:tcPr>
          <w:p w:rsidR="00ED3809" w:rsidRPr="00B65630" w:rsidRDefault="00ED3809"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 xml:space="preserve">8 de Noviembre </w:t>
            </w:r>
          </w:p>
        </w:tc>
        <w:tc>
          <w:tcPr>
            <w:tcW w:w="2268" w:type="dxa"/>
          </w:tcPr>
          <w:p w:rsidR="00ED3809" w:rsidRPr="00B65630" w:rsidRDefault="00ED3809"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 xml:space="preserve">Organizado por CRCA </w:t>
            </w:r>
            <w:proofErr w:type="spellStart"/>
            <w:r w:rsidRPr="00B65630">
              <w:rPr>
                <w:rFonts w:ascii="Verdana" w:hAnsi="Verdana" w:cstheme="minorHAnsi"/>
                <w:iCs/>
                <w:color w:val="auto"/>
                <w:sz w:val="16"/>
                <w:szCs w:val="16"/>
              </w:rPr>
              <w:t>Bío</w:t>
            </w:r>
            <w:proofErr w:type="spellEnd"/>
            <w:r w:rsidRPr="00B65630">
              <w:rPr>
                <w:rFonts w:ascii="Verdana" w:hAnsi="Verdana" w:cstheme="minorHAnsi"/>
                <w:iCs/>
                <w:color w:val="auto"/>
                <w:sz w:val="16"/>
                <w:szCs w:val="16"/>
              </w:rPr>
              <w:t xml:space="preserve"> </w:t>
            </w:r>
            <w:proofErr w:type="spellStart"/>
            <w:r w:rsidRPr="00B65630">
              <w:rPr>
                <w:rFonts w:ascii="Verdana" w:hAnsi="Verdana" w:cstheme="minorHAnsi"/>
                <w:iCs/>
                <w:color w:val="auto"/>
                <w:sz w:val="16"/>
                <w:szCs w:val="16"/>
              </w:rPr>
              <w:t>Bío</w:t>
            </w:r>
            <w:proofErr w:type="spellEnd"/>
            <w:r w:rsidRPr="00B65630">
              <w:rPr>
                <w:rFonts w:ascii="Verdana" w:hAnsi="Verdana" w:cstheme="minorHAnsi"/>
                <w:iCs/>
                <w:color w:val="auto"/>
                <w:sz w:val="16"/>
                <w:szCs w:val="16"/>
              </w:rPr>
              <w:t xml:space="preserve">, un seminario con escuelas y liceos para promocionar FAE, invitada María Jesus Chaparro. </w:t>
            </w:r>
          </w:p>
        </w:tc>
      </w:tr>
      <w:tr w:rsidR="00ED3809" w:rsidRPr="00B65630" w:rsidTr="00577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3" w:type="dxa"/>
            <w:vMerge/>
          </w:tcPr>
          <w:p w:rsidR="00ED3809" w:rsidRPr="00B65630" w:rsidRDefault="00ED3809" w:rsidP="0069342A">
            <w:pPr>
              <w:spacing w:line="360" w:lineRule="auto"/>
              <w:jc w:val="both"/>
              <w:rPr>
                <w:rFonts w:ascii="Verdana" w:hAnsi="Verdana" w:cstheme="minorHAnsi"/>
                <w:b/>
                <w:iCs/>
                <w:color w:val="FF0000"/>
                <w:sz w:val="16"/>
                <w:szCs w:val="16"/>
              </w:rPr>
            </w:pPr>
          </w:p>
        </w:tc>
        <w:tc>
          <w:tcPr>
            <w:tcW w:w="2693" w:type="dxa"/>
          </w:tcPr>
          <w:p w:rsidR="00ED3809" w:rsidRPr="00B65630" w:rsidRDefault="00ED3809"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Instituciones educativas de la región metropolitana.</w:t>
            </w:r>
          </w:p>
        </w:tc>
        <w:tc>
          <w:tcPr>
            <w:tcW w:w="1984" w:type="dxa"/>
          </w:tcPr>
          <w:p w:rsidR="00ED3809" w:rsidRPr="00B65630" w:rsidRDefault="00ED3809"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27  de Octubre</w:t>
            </w:r>
          </w:p>
        </w:tc>
        <w:tc>
          <w:tcPr>
            <w:tcW w:w="2268" w:type="dxa"/>
          </w:tcPr>
          <w:p w:rsidR="00ED3809" w:rsidRPr="00B65630" w:rsidRDefault="00ED3809" w:rsidP="0069342A">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iCs/>
                <w:color w:val="auto"/>
                <w:sz w:val="16"/>
                <w:szCs w:val="16"/>
              </w:rPr>
            </w:pPr>
            <w:r w:rsidRPr="00B65630">
              <w:rPr>
                <w:rFonts w:ascii="Verdana" w:hAnsi="Verdana" w:cstheme="minorHAnsi"/>
                <w:iCs/>
                <w:color w:val="auto"/>
                <w:sz w:val="16"/>
                <w:szCs w:val="16"/>
              </w:rPr>
              <w:t xml:space="preserve">Seminario difusión FAE, organizado por CRCA Metropolitana. </w:t>
            </w:r>
          </w:p>
        </w:tc>
      </w:tr>
      <w:tr w:rsidR="00577EAE" w:rsidRPr="00B65630" w:rsidTr="00577EAE">
        <w:trPr>
          <w:jc w:val="center"/>
        </w:trPr>
        <w:tc>
          <w:tcPr>
            <w:cnfStyle w:val="001000000000" w:firstRow="0" w:lastRow="0" w:firstColumn="1" w:lastColumn="0" w:oddVBand="0" w:evenVBand="0" w:oddHBand="0" w:evenHBand="0" w:firstRowFirstColumn="0" w:firstRowLastColumn="0" w:lastRowFirstColumn="0" w:lastRowLastColumn="0"/>
            <w:tcW w:w="1873" w:type="dxa"/>
          </w:tcPr>
          <w:p w:rsidR="00577EAE" w:rsidRPr="00B65630" w:rsidRDefault="00577EAE" w:rsidP="0069342A">
            <w:pPr>
              <w:spacing w:line="360" w:lineRule="auto"/>
              <w:jc w:val="both"/>
              <w:rPr>
                <w:rFonts w:ascii="Verdana" w:hAnsi="Verdana" w:cstheme="minorHAnsi"/>
                <w:b/>
                <w:iCs/>
                <w:sz w:val="16"/>
                <w:szCs w:val="16"/>
              </w:rPr>
            </w:pPr>
            <w:r w:rsidRPr="00B65630">
              <w:rPr>
                <w:rFonts w:ascii="Verdana" w:hAnsi="Verdana" w:cstheme="minorHAnsi"/>
                <w:b/>
                <w:iCs/>
                <w:sz w:val="16"/>
                <w:szCs w:val="16"/>
              </w:rPr>
              <w:t>Visitas en terreno</w:t>
            </w:r>
          </w:p>
        </w:tc>
        <w:tc>
          <w:tcPr>
            <w:tcW w:w="2693" w:type="dxa"/>
          </w:tcPr>
          <w:p w:rsidR="00577EAE" w:rsidRPr="00B65630" w:rsidRDefault="00577EAE"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Instituciones educativas de las comunas Iquique, Pica, Coquimbo, Isla de Maipo, San Felipe, Punta Arenas, Santiago, Valparaíso, Concepción, Rancagua, Viña del Mar, Castro, Temuco, Villarrica, Puerto Montt, La Unión entre otras.</w:t>
            </w:r>
          </w:p>
        </w:tc>
        <w:tc>
          <w:tcPr>
            <w:tcW w:w="1984" w:type="dxa"/>
          </w:tcPr>
          <w:p w:rsidR="00577EAE" w:rsidRPr="00B65630" w:rsidRDefault="00577EAE"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color w:val="auto"/>
                <w:sz w:val="16"/>
                <w:szCs w:val="16"/>
              </w:rPr>
              <w:t>Agosto- Octubre 2011</w:t>
            </w:r>
          </w:p>
        </w:tc>
        <w:tc>
          <w:tcPr>
            <w:tcW w:w="2268" w:type="dxa"/>
          </w:tcPr>
          <w:p w:rsidR="00577EAE" w:rsidRPr="00B65630" w:rsidRDefault="00577EAE" w:rsidP="0069342A">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16"/>
                <w:szCs w:val="16"/>
              </w:rPr>
            </w:pPr>
            <w:r w:rsidRPr="00B65630">
              <w:rPr>
                <w:rFonts w:ascii="Verdana" w:hAnsi="Verdana" w:cstheme="minorHAnsi"/>
                <w:iCs/>
                <w:sz w:val="16"/>
                <w:szCs w:val="16"/>
              </w:rPr>
              <w:t xml:space="preserve">Sección Educación Artística y Cultura (Jefatura de Sección / Coordinadora Nacional FAE/ </w:t>
            </w:r>
            <w:proofErr w:type="spellStart"/>
            <w:r w:rsidRPr="00B65630">
              <w:rPr>
                <w:rFonts w:ascii="Verdana" w:hAnsi="Verdana" w:cstheme="minorHAnsi"/>
                <w:iCs/>
                <w:sz w:val="16"/>
                <w:szCs w:val="16"/>
              </w:rPr>
              <w:t>Macrozonales</w:t>
            </w:r>
            <w:proofErr w:type="spellEnd"/>
            <w:r w:rsidRPr="00B65630">
              <w:rPr>
                <w:rFonts w:ascii="Verdana" w:hAnsi="Verdana" w:cstheme="minorHAnsi"/>
                <w:iCs/>
                <w:sz w:val="16"/>
                <w:szCs w:val="16"/>
              </w:rPr>
              <w:t>)</w:t>
            </w:r>
          </w:p>
        </w:tc>
      </w:tr>
    </w:tbl>
    <w:p w:rsidR="00577EAE" w:rsidRPr="00B65630" w:rsidRDefault="00577EAE" w:rsidP="0069342A">
      <w:pPr>
        <w:autoSpaceDE w:val="0"/>
        <w:autoSpaceDN w:val="0"/>
        <w:adjustRightInd w:val="0"/>
        <w:spacing w:line="360" w:lineRule="auto"/>
        <w:jc w:val="both"/>
        <w:rPr>
          <w:rFonts w:ascii="Verdana" w:hAnsi="Verdana" w:cstheme="minorHAnsi"/>
          <w:iCs/>
        </w:rPr>
      </w:pPr>
    </w:p>
    <w:p w:rsidR="00577EAE" w:rsidRPr="00B65630" w:rsidRDefault="00577EAE" w:rsidP="0069342A">
      <w:pPr>
        <w:autoSpaceDE w:val="0"/>
        <w:autoSpaceDN w:val="0"/>
        <w:adjustRightInd w:val="0"/>
        <w:spacing w:line="360" w:lineRule="auto"/>
        <w:jc w:val="both"/>
        <w:rPr>
          <w:rFonts w:ascii="Verdana" w:hAnsi="Verdana" w:cstheme="minorHAnsi"/>
          <w:iCs/>
        </w:rPr>
      </w:pPr>
      <w:r w:rsidRPr="00B65630">
        <w:rPr>
          <w:rFonts w:ascii="Verdana" w:hAnsi="Verdana" w:cstheme="minorHAnsi"/>
          <w:iCs/>
        </w:rPr>
        <w:lastRenderedPageBreak/>
        <w:t xml:space="preserve">Además se generó una campaña virtual, con publicación de banner en sitio CNCA, y sitios regionales. </w:t>
      </w:r>
    </w:p>
    <w:p w:rsidR="0069342A" w:rsidRDefault="0069342A" w:rsidP="0069342A">
      <w:pPr>
        <w:autoSpaceDE w:val="0"/>
        <w:autoSpaceDN w:val="0"/>
        <w:adjustRightInd w:val="0"/>
        <w:spacing w:line="360" w:lineRule="auto"/>
        <w:jc w:val="both"/>
        <w:rPr>
          <w:rFonts w:ascii="Verdana" w:hAnsi="Verdana" w:cstheme="minorHAnsi"/>
          <w:iCs/>
        </w:rPr>
      </w:pPr>
    </w:p>
    <w:p w:rsidR="00830A31" w:rsidRPr="00B65630" w:rsidRDefault="00830A31" w:rsidP="0069342A">
      <w:pPr>
        <w:autoSpaceDE w:val="0"/>
        <w:autoSpaceDN w:val="0"/>
        <w:adjustRightInd w:val="0"/>
        <w:spacing w:line="360" w:lineRule="auto"/>
        <w:jc w:val="both"/>
        <w:rPr>
          <w:rFonts w:ascii="Verdana" w:hAnsi="Verdana" w:cstheme="minorHAnsi"/>
          <w:iCs/>
        </w:rPr>
      </w:pPr>
    </w:p>
    <w:p w:rsidR="00ED4161" w:rsidRPr="00B65630" w:rsidRDefault="00F00C47" w:rsidP="0069342A">
      <w:pPr>
        <w:spacing w:line="360" w:lineRule="auto"/>
        <w:rPr>
          <w:rFonts w:ascii="Verdana" w:hAnsi="Verdana" w:cstheme="minorHAnsi"/>
          <w:iCs/>
          <w:sz w:val="28"/>
          <w:szCs w:val="28"/>
        </w:rPr>
      </w:pPr>
      <w:r w:rsidRPr="00B65630">
        <w:rPr>
          <w:rFonts w:ascii="Verdana" w:hAnsi="Verdana" w:cstheme="minorHAnsi"/>
          <w:b/>
          <w:iCs/>
          <w:sz w:val="28"/>
          <w:szCs w:val="28"/>
        </w:rPr>
        <w:t xml:space="preserve">3.- </w:t>
      </w:r>
      <w:r w:rsidR="00ED4161" w:rsidRPr="00B65630">
        <w:rPr>
          <w:rFonts w:ascii="Verdana" w:hAnsi="Verdana" w:cs="Calibri"/>
          <w:b/>
          <w:bCs/>
          <w:sz w:val="28"/>
          <w:szCs w:val="28"/>
          <w:lang w:val="es-ES"/>
        </w:rPr>
        <w:t>Proceso de postulación</w:t>
      </w:r>
      <w:r w:rsidR="00ED4161" w:rsidRPr="00B65630">
        <w:rPr>
          <w:rFonts w:ascii="Verdana" w:hAnsi="Verdana" w:cs="Calibri"/>
          <w:bCs/>
          <w:sz w:val="28"/>
          <w:szCs w:val="28"/>
          <w:lang w:val="es-ES"/>
        </w:rPr>
        <w:t>:</w:t>
      </w:r>
    </w:p>
    <w:p w:rsidR="00ED4161" w:rsidRPr="00B65630" w:rsidRDefault="00ED4161" w:rsidP="0069342A">
      <w:pPr>
        <w:pStyle w:val="Prrafodelista"/>
        <w:numPr>
          <w:ilvl w:val="0"/>
          <w:numId w:val="1"/>
        </w:numPr>
        <w:spacing w:line="360" w:lineRule="auto"/>
        <w:jc w:val="both"/>
        <w:rPr>
          <w:rFonts w:ascii="Verdana" w:hAnsi="Verdana"/>
        </w:rPr>
      </w:pPr>
      <w:r w:rsidRPr="00B65630">
        <w:rPr>
          <w:rFonts w:ascii="Verdana" w:hAnsi="Verdana"/>
          <w:b/>
        </w:rPr>
        <w:t>Las postulaciones al FAE respecto de los años anteriores se muestran</w:t>
      </w:r>
      <w:r w:rsidR="008A19D1" w:rsidRPr="00B65630">
        <w:rPr>
          <w:rFonts w:ascii="Verdana" w:hAnsi="Verdana"/>
          <w:b/>
        </w:rPr>
        <w:t xml:space="preserve"> como tremendamente alentadoras</w:t>
      </w:r>
      <w:r w:rsidRPr="00B65630">
        <w:rPr>
          <w:rFonts w:ascii="Verdana" w:hAnsi="Verdana"/>
        </w:rPr>
        <w:t xml:space="preserve">, esto demuestra el gran interés desde el mundo escolar formal y del mundo educativo artístico no formal no sólo por obtener fondos de parte del FAE sino también por aceptar la invitación del Consejo de visibilizar la educación a través del Arte. </w:t>
      </w:r>
    </w:p>
    <w:p w:rsidR="00ED4161" w:rsidRPr="00B65630" w:rsidRDefault="00ED4161" w:rsidP="0069342A">
      <w:pPr>
        <w:pStyle w:val="Prrafodelista"/>
        <w:numPr>
          <w:ilvl w:val="0"/>
          <w:numId w:val="1"/>
        </w:numPr>
        <w:spacing w:line="360" w:lineRule="auto"/>
        <w:jc w:val="both"/>
        <w:rPr>
          <w:rFonts w:ascii="Verdana" w:hAnsi="Verdana"/>
          <w:b/>
        </w:rPr>
      </w:pPr>
      <w:r w:rsidRPr="00B65630">
        <w:rPr>
          <w:rFonts w:ascii="Verdana" w:hAnsi="Verdana"/>
        </w:rPr>
        <w:t>Muchas instituciones respondieron al llamado de fomentar y promover proyectos artísticos educativos para mejorar la formación integral de niños, niñas y jóvenes, obteniendo finalmente un 70% más de postulaciones que el año anterior</w:t>
      </w:r>
      <w:r w:rsidRPr="00B65630">
        <w:rPr>
          <w:rFonts w:ascii="Verdana" w:hAnsi="Verdana"/>
          <w:b/>
        </w:rPr>
        <w:t>.</w:t>
      </w:r>
    </w:p>
    <w:p w:rsidR="00ED4161" w:rsidRPr="00B65630" w:rsidRDefault="00ED4161" w:rsidP="0069342A">
      <w:pPr>
        <w:pStyle w:val="Prrafodelista"/>
        <w:numPr>
          <w:ilvl w:val="0"/>
          <w:numId w:val="1"/>
        </w:numPr>
        <w:spacing w:line="360" w:lineRule="auto"/>
        <w:jc w:val="both"/>
        <w:rPr>
          <w:rFonts w:ascii="Verdana" w:hAnsi="Verdana"/>
        </w:rPr>
      </w:pPr>
      <w:r w:rsidRPr="00B65630">
        <w:rPr>
          <w:rFonts w:ascii="Verdana" w:hAnsi="Verdana"/>
        </w:rPr>
        <w:t xml:space="preserve">Este año la convocatoria abre la posibilidad de postulación a proyectos artísticos en instituciones que desarrollan formación artística diferenciada, proyectos artísticos en instituciones que desarrollan arte y cultura a través del currículum general e instituciones que desarrollan proyectos artísticos y que pertenecen al sistema no formal de educación. </w:t>
      </w:r>
    </w:p>
    <w:p w:rsidR="00ED4161" w:rsidRPr="00B65630" w:rsidRDefault="00ED4161" w:rsidP="0069342A">
      <w:pPr>
        <w:pStyle w:val="Prrafodelista"/>
        <w:numPr>
          <w:ilvl w:val="0"/>
          <w:numId w:val="1"/>
        </w:numPr>
        <w:spacing w:line="360" w:lineRule="auto"/>
        <w:jc w:val="both"/>
        <w:rPr>
          <w:rFonts w:ascii="Verdana" w:hAnsi="Verdana"/>
        </w:rPr>
      </w:pPr>
      <w:r w:rsidRPr="00B65630">
        <w:rPr>
          <w:rFonts w:ascii="Verdana" w:hAnsi="Verdana"/>
        </w:rPr>
        <w:t xml:space="preserve">Se realizaron actividades de difusión (a través de las Direcciones Regionales) en las siguientes regiones: Magallanes, </w:t>
      </w:r>
      <w:proofErr w:type="spellStart"/>
      <w:r w:rsidRPr="00B65630">
        <w:rPr>
          <w:rFonts w:ascii="Verdana" w:hAnsi="Verdana"/>
        </w:rPr>
        <w:t>Bío</w:t>
      </w:r>
      <w:proofErr w:type="spellEnd"/>
      <w:r w:rsidRPr="00B65630">
        <w:rPr>
          <w:rFonts w:ascii="Verdana" w:hAnsi="Verdana"/>
        </w:rPr>
        <w:t xml:space="preserve"> </w:t>
      </w:r>
      <w:proofErr w:type="spellStart"/>
      <w:r w:rsidRPr="00B65630">
        <w:rPr>
          <w:rFonts w:ascii="Verdana" w:hAnsi="Verdana"/>
        </w:rPr>
        <w:t>Bío</w:t>
      </w:r>
      <w:proofErr w:type="spellEnd"/>
      <w:r w:rsidRPr="00B65630">
        <w:rPr>
          <w:rFonts w:ascii="Verdana" w:hAnsi="Verdana"/>
        </w:rPr>
        <w:t xml:space="preserve">, Metropolitana, O´Higgins, convocando a las de 170 personas en todas las iniciativas. </w:t>
      </w:r>
    </w:p>
    <w:p w:rsidR="00ED4161" w:rsidRPr="00B65630" w:rsidRDefault="00ED4161" w:rsidP="0069342A">
      <w:pPr>
        <w:pStyle w:val="Prrafodelista"/>
        <w:numPr>
          <w:ilvl w:val="0"/>
          <w:numId w:val="1"/>
        </w:numPr>
        <w:spacing w:line="360" w:lineRule="auto"/>
        <w:jc w:val="both"/>
        <w:rPr>
          <w:rFonts w:ascii="Verdana" w:hAnsi="Verdana"/>
        </w:rPr>
      </w:pPr>
      <w:r w:rsidRPr="00B65630">
        <w:rPr>
          <w:rFonts w:ascii="Verdana" w:hAnsi="Verdana"/>
        </w:rPr>
        <w:t xml:space="preserve">A medida que fue avanzando la convocatoria, se mostraron interesados postulantes de distintas regiones, manifestándose interés nacional por el FAE. Un ejemplo de ello, es el interés de nuevas instituciones por postular: Corporación Crearte, Corporación ARTEDUCA, Escuela Artística Los Callejeros, Corporación Educacional </w:t>
      </w:r>
      <w:proofErr w:type="spellStart"/>
      <w:r w:rsidRPr="00B65630">
        <w:rPr>
          <w:rFonts w:ascii="Verdana" w:hAnsi="Verdana"/>
        </w:rPr>
        <w:t>Aliwén</w:t>
      </w:r>
      <w:proofErr w:type="spellEnd"/>
      <w:r w:rsidRPr="00B65630">
        <w:rPr>
          <w:rFonts w:ascii="Verdana" w:hAnsi="Verdana"/>
        </w:rPr>
        <w:t xml:space="preserve">, Centro Cultural </w:t>
      </w:r>
      <w:proofErr w:type="spellStart"/>
      <w:r w:rsidRPr="00B65630">
        <w:rPr>
          <w:rFonts w:ascii="Verdana" w:hAnsi="Verdana"/>
        </w:rPr>
        <w:t>Newén</w:t>
      </w:r>
      <w:proofErr w:type="spellEnd"/>
      <w:r w:rsidRPr="00B65630">
        <w:rPr>
          <w:rFonts w:ascii="Verdana" w:hAnsi="Verdana"/>
        </w:rPr>
        <w:t xml:space="preserve">, Escuela Los Héroes de Chillan, Corporación Municipal de San Joaquín, </w:t>
      </w:r>
      <w:r w:rsidRPr="00B65630">
        <w:rPr>
          <w:rFonts w:ascii="Verdana" w:hAnsi="Verdana"/>
        </w:rPr>
        <w:lastRenderedPageBreak/>
        <w:t>Agrupación Cultural de La Patagonia, Centro Cultural San José del Carmen, Corporación de Educación para el Arte y El Mar, ONG Internacional Coincide, Municipalidad de Angol y Municipalidad de Chiguayante</w:t>
      </w:r>
      <w:r w:rsidR="00577EAE" w:rsidRPr="00B65630">
        <w:rPr>
          <w:rFonts w:ascii="Verdana" w:hAnsi="Verdana"/>
        </w:rPr>
        <w:t>, GAM</w:t>
      </w:r>
      <w:r w:rsidRPr="00B65630">
        <w:rPr>
          <w:rFonts w:ascii="Verdana" w:hAnsi="Verdana"/>
        </w:rPr>
        <w:t xml:space="preserve"> entre otros.</w:t>
      </w:r>
    </w:p>
    <w:p w:rsidR="00ED4161" w:rsidRPr="00B65630" w:rsidRDefault="00577EAE" w:rsidP="0069342A">
      <w:pPr>
        <w:pStyle w:val="Prrafodelista"/>
        <w:numPr>
          <w:ilvl w:val="0"/>
          <w:numId w:val="1"/>
        </w:numPr>
        <w:spacing w:line="360" w:lineRule="auto"/>
        <w:jc w:val="both"/>
        <w:rPr>
          <w:rFonts w:ascii="Verdana" w:hAnsi="Verdana"/>
        </w:rPr>
      </w:pPr>
      <w:r w:rsidRPr="00B65630">
        <w:rPr>
          <w:rFonts w:ascii="Verdana" w:hAnsi="Verdana"/>
        </w:rPr>
        <w:t xml:space="preserve">El comportamiento regional de las postulaciones en regiones ha sido positivo, lo que se puede observar en el siguiente cuadro: </w:t>
      </w:r>
    </w:p>
    <w:p w:rsidR="00F00C47" w:rsidRPr="00B65630" w:rsidRDefault="00F00C47" w:rsidP="0069342A">
      <w:pPr>
        <w:pStyle w:val="Prrafodelista"/>
        <w:spacing w:line="360" w:lineRule="auto"/>
        <w:jc w:val="both"/>
        <w:rPr>
          <w:rFonts w:ascii="Verdana" w:hAnsi="Verdana"/>
        </w:rPr>
      </w:pPr>
    </w:p>
    <w:p w:rsidR="00396A33" w:rsidRPr="00B65630" w:rsidRDefault="00396A33" w:rsidP="0069342A">
      <w:pPr>
        <w:spacing w:line="360" w:lineRule="auto"/>
        <w:rPr>
          <w:rFonts w:ascii="Verdana" w:hAnsi="Verdana"/>
        </w:rPr>
      </w:pPr>
      <w:r w:rsidRPr="00B65630">
        <w:rPr>
          <w:rFonts w:ascii="Verdana" w:hAnsi="Verdana"/>
          <w:noProof/>
          <w:lang w:eastAsia="es-CL"/>
        </w:rPr>
        <w:drawing>
          <wp:inline distT="0" distB="0" distL="0" distR="0" wp14:anchorId="190A2DCF" wp14:editId="368C2203">
            <wp:extent cx="5829300" cy="2230772"/>
            <wp:effectExtent l="0" t="0" r="0" b="0"/>
            <wp:docPr id="1" name="Imagen 1" descr="cid:image001.png@01CCCB95.EC59D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descr="cid:image001.png@01CCCB95.EC59DE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41649" cy="2235498"/>
                    </a:xfrm>
                    <a:prstGeom prst="rect">
                      <a:avLst/>
                    </a:prstGeom>
                    <a:noFill/>
                    <a:ln>
                      <a:noFill/>
                    </a:ln>
                  </pic:spPr>
                </pic:pic>
              </a:graphicData>
            </a:graphic>
          </wp:inline>
        </w:drawing>
      </w:r>
      <w:r w:rsidR="00174324" w:rsidRPr="00B65630">
        <w:rPr>
          <w:rFonts w:ascii="Verdana" w:eastAsia="Calibri" w:hAnsi="Verdana" w:cs="Calibri"/>
          <w:sz w:val="20"/>
          <w:szCs w:val="20"/>
        </w:rPr>
        <w:t>Fuente: Elaboración propia</w:t>
      </w:r>
    </w:p>
    <w:p w:rsidR="00396A33" w:rsidRPr="00B65630" w:rsidRDefault="00396A33" w:rsidP="0069342A">
      <w:pPr>
        <w:spacing w:after="0" w:line="360" w:lineRule="auto"/>
        <w:rPr>
          <w:rFonts w:ascii="Verdana" w:eastAsia="Calibri" w:hAnsi="Verdana" w:cs="Calibri"/>
        </w:rPr>
      </w:pPr>
    </w:p>
    <w:p w:rsidR="00396A33" w:rsidRPr="00B65630" w:rsidRDefault="001353DF" w:rsidP="0069342A">
      <w:pPr>
        <w:spacing w:after="0" w:line="360" w:lineRule="auto"/>
        <w:jc w:val="center"/>
        <w:rPr>
          <w:rFonts w:ascii="Verdana" w:eastAsia="Calibri" w:hAnsi="Verdana" w:cs="Calibri"/>
        </w:rPr>
      </w:pPr>
      <w:r w:rsidRPr="00B65630">
        <w:rPr>
          <w:rFonts w:ascii="Verdana" w:hAnsi="Verdana"/>
          <w:noProof/>
          <w:lang w:eastAsia="es-CL"/>
        </w:rPr>
        <w:drawing>
          <wp:inline distT="0" distB="0" distL="0" distR="0" wp14:anchorId="39018F54" wp14:editId="0BE452E0">
            <wp:extent cx="3057525" cy="3209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3209925"/>
                    </a:xfrm>
                    <a:prstGeom prst="rect">
                      <a:avLst/>
                    </a:prstGeom>
                    <a:noFill/>
                    <a:ln>
                      <a:noFill/>
                    </a:ln>
                  </pic:spPr>
                </pic:pic>
              </a:graphicData>
            </a:graphic>
          </wp:inline>
        </w:drawing>
      </w:r>
    </w:p>
    <w:p w:rsidR="00F00C47" w:rsidRPr="00B65630" w:rsidRDefault="00174324" w:rsidP="0069342A">
      <w:pPr>
        <w:spacing w:after="0" w:line="360" w:lineRule="auto"/>
        <w:rPr>
          <w:rFonts w:ascii="Verdana" w:eastAsia="Calibri" w:hAnsi="Verdana" w:cs="Calibri"/>
          <w:sz w:val="20"/>
          <w:szCs w:val="20"/>
        </w:rPr>
      </w:pPr>
      <w:r w:rsidRPr="00B65630">
        <w:rPr>
          <w:rFonts w:ascii="Verdana" w:eastAsia="Calibri" w:hAnsi="Verdana" w:cs="Calibri"/>
          <w:sz w:val="20"/>
          <w:szCs w:val="20"/>
        </w:rPr>
        <w:t>Fuente: Elaboración propia.</w:t>
      </w:r>
    </w:p>
    <w:p w:rsidR="00174324" w:rsidRPr="00B65630" w:rsidRDefault="00174324" w:rsidP="0069342A">
      <w:pPr>
        <w:spacing w:after="0" w:line="360" w:lineRule="auto"/>
        <w:rPr>
          <w:rFonts w:ascii="Verdana" w:eastAsia="Calibri" w:hAnsi="Verdana" w:cs="Calibri"/>
        </w:rPr>
      </w:pPr>
    </w:p>
    <w:p w:rsidR="00F00C47" w:rsidRPr="00B65630" w:rsidRDefault="00F00C47" w:rsidP="0069342A">
      <w:pPr>
        <w:pStyle w:val="Prrafodelista"/>
        <w:numPr>
          <w:ilvl w:val="0"/>
          <w:numId w:val="4"/>
        </w:numPr>
        <w:spacing w:line="360" w:lineRule="auto"/>
        <w:jc w:val="both"/>
        <w:rPr>
          <w:rFonts w:ascii="Verdana" w:hAnsi="Verdana"/>
        </w:rPr>
      </w:pPr>
      <w:r w:rsidRPr="00B65630">
        <w:rPr>
          <w:rFonts w:ascii="Verdana" w:hAnsi="Verdana"/>
        </w:rPr>
        <w:t xml:space="preserve">Se destacan las regiones de Valparaíso, Metropolitana, Bío-Bío, Los Ríos y Los Lagos, que aumentan sus postulaciones progresivamente en estos últimos años. Cabe mencionar que a partir del 2010 el FNEA comienza a abrir su convocatoria a más escuelas, ya que desde el 2009 hacia atrás la convocatoria estaba dirigida a un grupo establecido y cerrado de escuelas. </w:t>
      </w:r>
    </w:p>
    <w:p w:rsidR="00F00C47" w:rsidRPr="00B65630" w:rsidRDefault="00F00C47" w:rsidP="0069342A">
      <w:pPr>
        <w:pStyle w:val="Prrafodelista"/>
        <w:numPr>
          <w:ilvl w:val="0"/>
          <w:numId w:val="4"/>
        </w:numPr>
        <w:spacing w:line="360" w:lineRule="auto"/>
        <w:rPr>
          <w:rFonts w:ascii="Verdana" w:hAnsi="Verdana"/>
        </w:rPr>
      </w:pPr>
      <w:r w:rsidRPr="00B65630">
        <w:rPr>
          <w:rFonts w:ascii="Verdana" w:hAnsi="Verdana"/>
        </w:rPr>
        <w:t xml:space="preserve">Otro dato interesante es la amplitud de comunas que postularon al FAE este año. Ya </w:t>
      </w:r>
      <w:r w:rsidR="00817E06" w:rsidRPr="00B65630">
        <w:rPr>
          <w:rFonts w:ascii="Verdana" w:hAnsi="Verdana"/>
        </w:rPr>
        <w:t>que llegamos a 88</w:t>
      </w:r>
      <w:r w:rsidRPr="00B65630">
        <w:rPr>
          <w:rFonts w:ascii="Verdana" w:hAnsi="Verdana"/>
        </w:rPr>
        <w:t xml:space="preserve"> comunas a diferencia de las 73 del año 2011. </w:t>
      </w:r>
    </w:p>
    <w:p w:rsidR="0069342A" w:rsidRPr="00B65630" w:rsidRDefault="0069342A" w:rsidP="0069342A">
      <w:pPr>
        <w:pStyle w:val="Prrafodelista"/>
        <w:spacing w:line="360" w:lineRule="auto"/>
        <w:rPr>
          <w:rFonts w:ascii="Verdana" w:hAnsi="Verdana"/>
        </w:rPr>
      </w:pPr>
    </w:p>
    <w:p w:rsidR="00F00C47" w:rsidRPr="00B65630" w:rsidRDefault="00F00C47" w:rsidP="0069342A">
      <w:pPr>
        <w:spacing w:line="360" w:lineRule="auto"/>
        <w:rPr>
          <w:rFonts w:ascii="Verdana" w:hAnsi="Verdana"/>
          <w:b/>
          <w:sz w:val="28"/>
          <w:szCs w:val="28"/>
        </w:rPr>
      </w:pPr>
      <w:r w:rsidRPr="00B65630">
        <w:rPr>
          <w:rFonts w:ascii="Verdana" w:hAnsi="Verdana"/>
          <w:b/>
          <w:sz w:val="28"/>
          <w:szCs w:val="28"/>
        </w:rPr>
        <w:t>4.- Proceso de Evaluación:</w:t>
      </w:r>
    </w:p>
    <w:p w:rsidR="008A19D1" w:rsidRPr="00B65630" w:rsidRDefault="008A19D1" w:rsidP="007711BE">
      <w:pPr>
        <w:spacing w:line="360" w:lineRule="auto"/>
        <w:jc w:val="both"/>
        <w:rPr>
          <w:rFonts w:ascii="Verdana" w:hAnsi="Verdana" w:cs="Calibri"/>
        </w:rPr>
      </w:pPr>
      <w:r w:rsidRPr="00B65630">
        <w:rPr>
          <w:rFonts w:ascii="Verdana" w:hAnsi="Verdana" w:cs="Calibri"/>
        </w:rPr>
        <w:t xml:space="preserve">Este año se tomó la decisión de cambiar los criterios de conformación del equipo de evaluación nacional. Se seleccionaron profesionales que tuvieran experiencia en la gestión </w:t>
      </w:r>
      <w:r w:rsidR="007711BE" w:rsidRPr="00B65630">
        <w:rPr>
          <w:rFonts w:ascii="Verdana" w:hAnsi="Verdana" w:cs="Calibri"/>
        </w:rPr>
        <w:t xml:space="preserve">educacional, tanto directiva como pedagógica. Tuvimos en el equipo de evaluación, profesionales con experiencia, en aula, docencia universitaria, jefatura técnica y dirección escolar. Esto nos permitió contar con una visión desde una perspectiva más transversal de los proyectos con foco en la calidad y sustentabilidad de éstos. </w:t>
      </w:r>
    </w:p>
    <w:p w:rsidR="00396A33" w:rsidRPr="00B65630" w:rsidRDefault="008463F2" w:rsidP="007711BE">
      <w:pPr>
        <w:spacing w:line="360" w:lineRule="auto"/>
        <w:jc w:val="both"/>
        <w:rPr>
          <w:rFonts w:ascii="Verdana" w:hAnsi="Verdana" w:cs="Calibri"/>
        </w:rPr>
      </w:pPr>
      <w:r w:rsidRPr="00B65630">
        <w:rPr>
          <w:rFonts w:ascii="Verdana" w:hAnsi="Verdana" w:cs="Calibri"/>
        </w:rPr>
        <w:t xml:space="preserve">Respecto del proceso de evaluación es importante mencionar el comportamiento de los postulantes por línea y modalidad. </w:t>
      </w:r>
    </w:p>
    <w:tbl>
      <w:tblPr>
        <w:tblW w:w="8731" w:type="dxa"/>
        <w:tblInd w:w="55" w:type="dxa"/>
        <w:tblCellMar>
          <w:left w:w="70" w:type="dxa"/>
          <w:right w:w="70" w:type="dxa"/>
        </w:tblCellMar>
        <w:tblLook w:val="04A0" w:firstRow="1" w:lastRow="0" w:firstColumn="1" w:lastColumn="0" w:noHBand="0" w:noVBand="1"/>
      </w:tblPr>
      <w:tblGrid>
        <w:gridCol w:w="1795"/>
        <w:gridCol w:w="2108"/>
        <w:gridCol w:w="2109"/>
        <w:gridCol w:w="2109"/>
        <w:gridCol w:w="802"/>
      </w:tblGrid>
      <w:tr w:rsidR="001353DF" w:rsidRPr="00B65630" w:rsidTr="007711BE">
        <w:trPr>
          <w:trHeight w:val="1012"/>
        </w:trPr>
        <w:tc>
          <w:tcPr>
            <w:tcW w:w="1412" w:type="dxa"/>
            <w:tcBorders>
              <w:top w:val="single" w:sz="4" w:space="0" w:color="auto"/>
              <w:left w:val="single" w:sz="4" w:space="0" w:color="auto"/>
              <w:bottom w:val="nil"/>
              <w:right w:val="single" w:sz="4"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proofErr w:type="spellStart"/>
            <w:r w:rsidRPr="00B65630">
              <w:rPr>
                <w:rFonts w:ascii="Verdana" w:eastAsia="Times New Roman" w:hAnsi="Verdana" w:cstheme="minorHAnsi"/>
                <w:b/>
                <w:bCs/>
                <w:color w:val="000000"/>
                <w:sz w:val="18"/>
                <w:szCs w:val="18"/>
                <w:lang w:eastAsia="es-CL"/>
              </w:rPr>
              <w:t>Linea</w:t>
            </w:r>
            <w:proofErr w:type="spellEnd"/>
            <w:r w:rsidRPr="00B65630">
              <w:rPr>
                <w:rFonts w:ascii="Verdana" w:eastAsia="Times New Roman" w:hAnsi="Verdana" w:cstheme="minorHAnsi"/>
                <w:b/>
                <w:bCs/>
                <w:color w:val="000000"/>
                <w:sz w:val="18"/>
                <w:szCs w:val="18"/>
                <w:lang w:eastAsia="es-CL"/>
              </w:rPr>
              <w:t>/Modalidad</w:t>
            </w:r>
          </w:p>
        </w:tc>
        <w:tc>
          <w:tcPr>
            <w:tcW w:w="2166" w:type="dxa"/>
            <w:tcBorders>
              <w:top w:val="single" w:sz="4" w:space="0" w:color="auto"/>
              <w:left w:val="nil"/>
              <w:bottom w:val="nil"/>
              <w:right w:val="single" w:sz="4" w:space="0" w:color="auto"/>
            </w:tcBorders>
            <w:shd w:val="clear" w:color="000000" w:fill="E26B0A"/>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Artística Diferenciada</w:t>
            </w:r>
          </w:p>
        </w:tc>
        <w:tc>
          <w:tcPr>
            <w:tcW w:w="2166" w:type="dxa"/>
            <w:tcBorders>
              <w:top w:val="single" w:sz="4" w:space="0" w:color="auto"/>
              <w:left w:val="nil"/>
              <w:bottom w:val="nil"/>
              <w:right w:val="single" w:sz="4" w:space="0" w:color="auto"/>
            </w:tcBorders>
            <w:shd w:val="clear" w:color="000000" w:fill="E26B0A"/>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Curriculum General</w:t>
            </w:r>
          </w:p>
        </w:tc>
        <w:tc>
          <w:tcPr>
            <w:tcW w:w="2166" w:type="dxa"/>
            <w:tcBorders>
              <w:top w:val="single" w:sz="4" w:space="0" w:color="auto"/>
              <w:left w:val="nil"/>
              <w:bottom w:val="nil"/>
              <w:right w:val="single" w:sz="4" w:space="0" w:color="auto"/>
            </w:tcBorders>
            <w:shd w:val="clear" w:color="000000" w:fill="E26B0A"/>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 xml:space="preserve">Educación no formal </w:t>
            </w:r>
          </w:p>
        </w:tc>
        <w:tc>
          <w:tcPr>
            <w:tcW w:w="821" w:type="dxa"/>
            <w:tcBorders>
              <w:top w:val="single" w:sz="4" w:space="0" w:color="auto"/>
              <w:left w:val="nil"/>
              <w:bottom w:val="single" w:sz="4" w:space="0" w:color="auto"/>
              <w:right w:val="single" w:sz="4" w:space="0" w:color="auto"/>
            </w:tcBorders>
            <w:shd w:val="clear" w:color="000000" w:fill="76933C"/>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Total por línea</w:t>
            </w:r>
          </w:p>
        </w:tc>
      </w:tr>
      <w:tr w:rsidR="001353DF" w:rsidRPr="00B65630" w:rsidTr="007711BE">
        <w:trPr>
          <w:trHeight w:val="711"/>
        </w:trPr>
        <w:tc>
          <w:tcPr>
            <w:tcW w:w="1412" w:type="dxa"/>
            <w:tcBorders>
              <w:top w:val="single" w:sz="8" w:space="0" w:color="auto"/>
              <w:left w:val="single" w:sz="8" w:space="0" w:color="auto"/>
              <w:bottom w:val="single" w:sz="8" w:space="0" w:color="auto"/>
              <w:right w:val="nil"/>
            </w:tcBorders>
            <w:shd w:val="clear" w:color="000000" w:fill="76933C"/>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Implementación y mejoramiento curricular</w:t>
            </w:r>
          </w:p>
        </w:tc>
        <w:tc>
          <w:tcPr>
            <w:tcW w:w="216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13</w:t>
            </w:r>
          </w:p>
        </w:tc>
        <w:tc>
          <w:tcPr>
            <w:tcW w:w="2166" w:type="dxa"/>
            <w:tcBorders>
              <w:top w:val="single" w:sz="8" w:space="0" w:color="auto"/>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19</w:t>
            </w:r>
          </w:p>
        </w:tc>
        <w:tc>
          <w:tcPr>
            <w:tcW w:w="2166" w:type="dxa"/>
            <w:tcBorders>
              <w:top w:val="single" w:sz="8" w:space="0" w:color="auto"/>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12</w:t>
            </w:r>
          </w:p>
        </w:tc>
        <w:tc>
          <w:tcPr>
            <w:tcW w:w="821" w:type="dxa"/>
            <w:tcBorders>
              <w:top w:val="nil"/>
              <w:left w:val="nil"/>
              <w:bottom w:val="single" w:sz="8" w:space="0" w:color="auto"/>
              <w:right w:val="single" w:sz="8" w:space="0" w:color="auto"/>
            </w:tcBorders>
            <w:shd w:val="clear" w:color="000000" w:fill="76933C"/>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44</w:t>
            </w:r>
          </w:p>
        </w:tc>
      </w:tr>
      <w:tr w:rsidR="001353DF" w:rsidRPr="00B65630" w:rsidTr="007711BE">
        <w:trPr>
          <w:trHeight w:val="711"/>
        </w:trPr>
        <w:tc>
          <w:tcPr>
            <w:tcW w:w="1412" w:type="dxa"/>
            <w:tcBorders>
              <w:top w:val="nil"/>
              <w:left w:val="single" w:sz="8" w:space="0" w:color="auto"/>
              <w:bottom w:val="single" w:sz="8" w:space="0" w:color="auto"/>
              <w:right w:val="nil"/>
            </w:tcBorders>
            <w:shd w:val="clear" w:color="000000" w:fill="76933C"/>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Perfeccionamiento docente y directivo</w:t>
            </w:r>
          </w:p>
        </w:tc>
        <w:tc>
          <w:tcPr>
            <w:tcW w:w="2166" w:type="dxa"/>
            <w:tcBorders>
              <w:top w:val="nil"/>
              <w:left w:val="single" w:sz="8" w:space="0" w:color="auto"/>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8</w:t>
            </w:r>
          </w:p>
        </w:tc>
        <w:tc>
          <w:tcPr>
            <w:tcW w:w="2166" w:type="dxa"/>
            <w:tcBorders>
              <w:top w:val="nil"/>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9</w:t>
            </w:r>
          </w:p>
        </w:tc>
        <w:tc>
          <w:tcPr>
            <w:tcW w:w="2166" w:type="dxa"/>
            <w:tcBorders>
              <w:top w:val="nil"/>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0</w:t>
            </w:r>
          </w:p>
        </w:tc>
        <w:tc>
          <w:tcPr>
            <w:tcW w:w="821" w:type="dxa"/>
            <w:tcBorders>
              <w:top w:val="nil"/>
              <w:left w:val="nil"/>
              <w:bottom w:val="single" w:sz="8" w:space="0" w:color="auto"/>
              <w:right w:val="single" w:sz="8" w:space="0" w:color="auto"/>
            </w:tcBorders>
            <w:shd w:val="clear" w:color="000000" w:fill="76933C"/>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17</w:t>
            </w:r>
          </w:p>
        </w:tc>
      </w:tr>
      <w:tr w:rsidR="001353DF" w:rsidRPr="00B65630" w:rsidTr="007711BE">
        <w:trPr>
          <w:trHeight w:val="711"/>
        </w:trPr>
        <w:tc>
          <w:tcPr>
            <w:tcW w:w="1412" w:type="dxa"/>
            <w:tcBorders>
              <w:top w:val="nil"/>
              <w:left w:val="single" w:sz="8" w:space="0" w:color="auto"/>
              <w:bottom w:val="single" w:sz="8" w:space="0" w:color="auto"/>
              <w:right w:val="nil"/>
            </w:tcBorders>
            <w:shd w:val="clear" w:color="000000" w:fill="76933C"/>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lastRenderedPageBreak/>
              <w:t>Equipamiento y materiales de enseñanza</w:t>
            </w:r>
          </w:p>
        </w:tc>
        <w:tc>
          <w:tcPr>
            <w:tcW w:w="2166" w:type="dxa"/>
            <w:tcBorders>
              <w:top w:val="nil"/>
              <w:left w:val="single" w:sz="8" w:space="0" w:color="auto"/>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42</w:t>
            </w:r>
          </w:p>
        </w:tc>
        <w:tc>
          <w:tcPr>
            <w:tcW w:w="2166" w:type="dxa"/>
            <w:tcBorders>
              <w:top w:val="nil"/>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19</w:t>
            </w:r>
          </w:p>
        </w:tc>
        <w:tc>
          <w:tcPr>
            <w:tcW w:w="2166" w:type="dxa"/>
            <w:tcBorders>
              <w:top w:val="nil"/>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11</w:t>
            </w:r>
          </w:p>
        </w:tc>
        <w:tc>
          <w:tcPr>
            <w:tcW w:w="821" w:type="dxa"/>
            <w:tcBorders>
              <w:top w:val="nil"/>
              <w:left w:val="nil"/>
              <w:bottom w:val="single" w:sz="8" w:space="0" w:color="auto"/>
              <w:right w:val="single" w:sz="8" w:space="0" w:color="auto"/>
            </w:tcBorders>
            <w:shd w:val="clear" w:color="000000" w:fill="76933C"/>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72</w:t>
            </w:r>
          </w:p>
        </w:tc>
      </w:tr>
      <w:tr w:rsidR="001353DF" w:rsidRPr="00B65630" w:rsidTr="007711BE">
        <w:trPr>
          <w:trHeight w:val="479"/>
        </w:trPr>
        <w:tc>
          <w:tcPr>
            <w:tcW w:w="1412" w:type="dxa"/>
            <w:tcBorders>
              <w:top w:val="nil"/>
              <w:left w:val="single" w:sz="8" w:space="0" w:color="auto"/>
              <w:bottom w:val="single" w:sz="8" w:space="0" w:color="auto"/>
              <w:right w:val="nil"/>
            </w:tcBorders>
            <w:shd w:val="clear" w:color="000000" w:fill="76933C"/>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 xml:space="preserve">Difusión y Extensión </w:t>
            </w:r>
          </w:p>
        </w:tc>
        <w:tc>
          <w:tcPr>
            <w:tcW w:w="2166" w:type="dxa"/>
            <w:tcBorders>
              <w:top w:val="nil"/>
              <w:left w:val="single" w:sz="8" w:space="0" w:color="auto"/>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25</w:t>
            </w:r>
          </w:p>
        </w:tc>
        <w:tc>
          <w:tcPr>
            <w:tcW w:w="2166" w:type="dxa"/>
            <w:tcBorders>
              <w:top w:val="nil"/>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11</w:t>
            </w:r>
          </w:p>
        </w:tc>
        <w:tc>
          <w:tcPr>
            <w:tcW w:w="2166" w:type="dxa"/>
            <w:tcBorders>
              <w:top w:val="nil"/>
              <w:left w:val="nil"/>
              <w:bottom w:val="single" w:sz="8" w:space="0" w:color="auto"/>
              <w:right w:val="single" w:sz="8"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8</w:t>
            </w:r>
          </w:p>
        </w:tc>
        <w:tc>
          <w:tcPr>
            <w:tcW w:w="821" w:type="dxa"/>
            <w:tcBorders>
              <w:top w:val="nil"/>
              <w:left w:val="nil"/>
              <w:bottom w:val="nil"/>
              <w:right w:val="single" w:sz="8" w:space="0" w:color="auto"/>
            </w:tcBorders>
            <w:shd w:val="clear" w:color="000000" w:fill="76933C"/>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44</w:t>
            </w:r>
          </w:p>
        </w:tc>
      </w:tr>
      <w:tr w:rsidR="001353DF" w:rsidRPr="00B65630" w:rsidTr="007711BE">
        <w:trPr>
          <w:trHeight w:val="479"/>
        </w:trPr>
        <w:tc>
          <w:tcPr>
            <w:tcW w:w="1412" w:type="dxa"/>
            <w:tcBorders>
              <w:top w:val="nil"/>
              <w:left w:val="single" w:sz="8" w:space="0" w:color="auto"/>
              <w:bottom w:val="single" w:sz="8" w:space="0" w:color="auto"/>
              <w:right w:val="nil"/>
            </w:tcBorders>
            <w:shd w:val="clear" w:color="000000" w:fill="E26B0A"/>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 xml:space="preserve">Total por Modalidad </w:t>
            </w:r>
          </w:p>
        </w:tc>
        <w:tc>
          <w:tcPr>
            <w:tcW w:w="2166" w:type="dxa"/>
            <w:tcBorders>
              <w:top w:val="nil"/>
              <w:left w:val="single" w:sz="8" w:space="0" w:color="auto"/>
              <w:bottom w:val="single" w:sz="8" w:space="0" w:color="auto"/>
              <w:right w:val="single" w:sz="8" w:space="0" w:color="auto"/>
            </w:tcBorders>
            <w:shd w:val="clear" w:color="000000" w:fill="E26B0A"/>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88</w:t>
            </w:r>
          </w:p>
        </w:tc>
        <w:tc>
          <w:tcPr>
            <w:tcW w:w="2166" w:type="dxa"/>
            <w:tcBorders>
              <w:top w:val="nil"/>
              <w:left w:val="nil"/>
              <w:bottom w:val="single" w:sz="8" w:space="0" w:color="auto"/>
              <w:right w:val="single" w:sz="8" w:space="0" w:color="auto"/>
            </w:tcBorders>
            <w:shd w:val="clear" w:color="000000" w:fill="E26B0A"/>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58</w:t>
            </w:r>
          </w:p>
        </w:tc>
        <w:tc>
          <w:tcPr>
            <w:tcW w:w="2166" w:type="dxa"/>
            <w:tcBorders>
              <w:top w:val="nil"/>
              <w:left w:val="nil"/>
              <w:bottom w:val="single" w:sz="8" w:space="0" w:color="auto"/>
              <w:right w:val="nil"/>
            </w:tcBorders>
            <w:shd w:val="clear" w:color="000000" w:fill="E26B0A"/>
            <w:noWrap/>
            <w:vAlign w:val="center"/>
            <w:hideMark/>
          </w:tcPr>
          <w:p w:rsidR="001353DF" w:rsidRPr="00B65630" w:rsidRDefault="001353DF"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31</w:t>
            </w:r>
          </w:p>
        </w:tc>
        <w:tc>
          <w:tcPr>
            <w:tcW w:w="8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53DF" w:rsidRPr="00B65630" w:rsidRDefault="001353DF"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177</w:t>
            </w:r>
          </w:p>
        </w:tc>
      </w:tr>
    </w:tbl>
    <w:p w:rsidR="00396A33" w:rsidRPr="00B65630" w:rsidRDefault="00174324" w:rsidP="0069342A">
      <w:pPr>
        <w:spacing w:line="360" w:lineRule="auto"/>
        <w:rPr>
          <w:rFonts w:ascii="Verdana" w:hAnsi="Verdana"/>
          <w:sz w:val="20"/>
          <w:szCs w:val="20"/>
        </w:rPr>
      </w:pPr>
      <w:r w:rsidRPr="00B65630">
        <w:rPr>
          <w:rFonts w:ascii="Verdana" w:hAnsi="Verdana"/>
          <w:sz w:val="20"/>
          <w:szCs w:val="20"/>
        </w:rPr>
        <w:t>Fuente: Elaboración propia, margen de error de la tabla 5%.</w:t>
      </w:r>
    </w:p>
    <w:p w:rsidR="00174324" w:rsidRPr="00B65630" w:rsidRDefault="00174324" w:rsidP="0069342A">
      <w:pPr>
        <w:spacing w:line="360" w:lineRule="auto"/>
        <w:jc w:val="both"/>
        <w:rPr>
          <w:rFonts w:ascii="Verdana" w:hAnsi="Verdana" w:cstheme="minorHAnsi"/>
        </w:rPr>
      </w:pPr>
      <w:r w:rsidRPr="00B65630">
        <w:rPr>
          <w:rFonts w:ascii="Verdana" w:hAnsi="Verdana" w:cstheme="minorHAnsi"/>
        </w:rPr>
        <w:t>Elementos a considerar:</w:t>
      </w:r>
    </w:p>
    <w:p w:rsidR="00174324" w:rsidRPr="00B65630" w:rsidRDefault="00174324" w:rsidP="0069342A">
      <w:pPr>
        <w:pStyle w:val="Prrafodelista"/>
        <w:numPr>
          <w:ilvl w:val="0"/>
          <w:numId w:val="5"/>
        </w:numPr>
        <w:spacing w:line="360" w:lineRule="auto"/>
        <w:jc w:val="both"/>
        <w:rPr>
          <w:rFonts w:ascii="Verdana" w:hAnsi="Verdana" w:cstheme="minorHAnsi"/>
        </w:rPr>
      </w:pPr>
      <w:r w:rsidRPr="00B65630">
        <w:rPr>
          <w:rFonts w:ascii="Verdana" w:hAnsi="Verdana" w:cstheme="minorHAnsi"/>
        </w:rPr>
        <w:t xml:space="preserve">El Fondo mantiene la tendencia de ser un espacio que es aprovechado por las escuelas artísticas que se encuentran en la primera modalidad. Posteriormente vienen las escuelas que desarrollan arte en el curriculum general y después la tercera modalidad con menos proyectos. </w:t>
      </w:r>
    </w:p>
    <w:p w:rsidR="00174324" w:rsidRPr="00B65630" w:rsidRDefault="00174324" w:rsidP="0069342A">
      <w:pPr>
        <w:pStyle w:val="Prrafodelista"/>
        <w:numPr>
          <w:ilvl w:val="0"/>
          <w:numId w:val="5"/>
        </w:numPr>
        <w:spacing w:line="360" w:lineRule="auto"/>
        <w:jc w:val="both"/>
        <w:rPr>
          <w:rFonts w:ascii="Verdana" w:hAnsi="Verdana" w:cstheme="minorHAnsi"/>
        </w:rPr>
      </w:pPr>
      <w:r w:rsidRPr="00B65630">
        <w:rPr>
          <w:rFonts w:ascii="Verdana" w:hAnsi="Verdana" w:cstheme="minorHAnsi"/>
        </w:rPr>
        <w:t xml:space="preserve">La tercera modalidad de postulación No Formal, tuvo 31 proyectos, suscita interés de parte de los postulantes. </w:t>
      </w:r>
    </w:p>
    <w:p w:rsidR="00174324" w:rsidRPr="00B65630" w:rsidRDefault="00174324" w:rsidP="0069342A">
      <w:pPr>
        <w:pStyle w:val="Prrafodelista"/>
        <w:numPr>
          <w:ilvl w:val="0"/>
          <w:numId w:val="5"/>
        </w:numPr>
        <w:spacing w:line="360" w:lineRule="auto"/>
        <w:jc w:val="both"/>
        <w:rPr>
          <w:rFonts w:ascii="Verdana" w:hAnsi="Verdana" w:cstheme="minorHAnsi"/>
        </w:rPr>
      </w:pPr>
      <w:r w:rsidRPr="00B65630">
        <w:rPr>
          <w:rFonts w:ascii="Verdana" w:hAnsi="Verdana" w:cstheme="minorHAnsi"/>
        </w:rPr>
        <w:t xml:space="preserve">La línea de postulación que concita mayor interés es equipamiento y material de enseñanza. </w:t>
      </w:r>
    </w:p>
    <w:p w:rsidR="00174324" w:rsidRPr="00B65630" w:rsidRDefault="00174324" w:rsidP="0069342A">
      <w:pPr>
        <w:pStyle w:val="Prrafodelista"/>
        <w:numPr>
          <w:ilvl w:val="0"/>
          <w:numId w:val="5"/>
        </w:numPr>
        <w:spacing w:line="360" w:lineRule="auto"/>
        <w:jc w:val="both"/>
        <w:rPr>
          <w:rFonts w:ascii="Verdana" w:hAnsi="Verdana" w:cstheme="minorHAnsi"/>
        </w:rPr>
      </w:pPr>
      <w:r w:rsidRPr="00B65630">
        <w:rPr>
          <w:rFonts w:ascii="Verdana" w:hAnsi="Verdana" w:cstheme="minorHAnsi"/>
        </w:rPr>
        <w:t>La línea que tiene menos proyectos es perfeccionamiento docente y directivo. ¿Será por la baja necesidad o baja oferta?</w:t>
      </w:r>
    </w:p>
    <w:p w:rsidR="00174324" w:rsidRPr="00B65630" w:rsidRDefault="00174324" w:rsidP="0069342A">
      <w:pPr>
        <w:pStyle w:val="Prrafodelista"/>
        <w:numPr>
          <w:ilvl w:val="0"/>
          <w:numId w:val="5"/>
        </w:numPr>
        <w:spacing w:line="360" w:lineRule="auto"/>
        <w:jc w:val="both"/>
        <w:rPr>
          <w:rFonts w:ascii="Verdana" w:hAnsi="Verdana" w:cstheme="minorHAnsi"/>
        </w:rPr>
      </w:pPr>
      <w:r w:rsidRPr="00B65630">
        <w:rPr>
          <w:rFonts w:ascii="Verdana" w:hAnsi="Verdana" w:cstheme="minorHAnsi"/>
        </w:rPr>
        <w:t xml:space="preserve">La segunda modalidad con mayor interés es implementación curricular, habría que </w:t>
      </w:r>
      <w:r w:rsidR="00ED3809" w:rsidRPr="00B65630">
        <w:rPr>
          <w:rFonts w:ascii="Verdana" w:hAnsi="Verdana" w:cstheme="minorHAnsi"/>
        </w:rPr>
        <w:t>profundizar</w:t>
      </w:r>
      <w:r w:rsidRPr="00B65630">
        <w:rPr>
          <w:rFonts w:ascii="Verdana" w:hAnsi="Verdana" w:cstheme="minorHAnsi"/>
        </w:rPr>
        <w:t xml:space="preserve">, para observar que </w:t>
      </w:r>
      <w:r w:rsidR="00ED3809" w:rsidRPr="00B65630">
        <w:rPr>
          <w:rFonts w:ascii="Verdana" w:hAnsi="Verdana" w:cstheme="minorHAnsi"/>
        </w:rPr>
        <w:t>demandan</w:t>
      </w:r>
      <w:r w:rsidRPr="00B65630">
        <w:rPr>
          <w:rFonts w:ascii="Verdana" w:hAnsi="Verdana" w:cstheme="minorHAnsi"/>
        </w:rPr>
        <w:t xml:space="preserve"> las escuelas con </w:t>
      </w:r>
      <w:r w:rsidR="00ED3809" w:rsidRPr="00B65630">
        <w:rPr>
          <w:rFonts w:ascii="Verdana" w:hAnsi="Verdana" w:cstheme="minorHAnsi"/>
        </w:rPr>
        <w:t>esta señal.</w:t>
      </w:r>
    </w:p>
    <w:p w:rsidR="0069342A" w:rsidRPr="00B65630" w:rsidRDefault="0069342A" w:rsidP="0069342A">
      <w:pPr>
        <w:spacing w:line="360" w:lineRule="auto"/>
        <w:rPr>
          <w:rFonts w:ascii="Verdana" w:hAnsi="Verdana"/>
          <w:b/>
          <w:sz w:val="28"/>
          <w:szCs w:val="28"/>
        </w:rPr>
      </w:pPr>
    </w:p>
    <w:p w:rsidR="0069342A" w:rsidRPr="00B65630" w:rsidRDefault="0069342A" w:rsidP="0069342A">
      <w:pPr>
        <w:spacing w:line="360" w:lineRule="auto"/>
        <w:rPr>
          <w:rFonts w:ascii="Verdana" w:hAnsi="Verdana"/>
          <w:b/>
          <w:sz w:val="28"/>
          <w:szCs w:val="28"/>
        </w:rPr>
      </w:pPr>
      <w:r w:rsidRPr="00B65630">
        <w:rPr>
          <w:rFonts w:ascii="Verdana" w:hAnsi="Verdana"/>
          <w:b/>
          <w:sz w:val="28"/>
          <w:szCs w:val="28"/>
        </w:rPr>
        <w:t xml:space="preserve">5.- Proceso de Adjudicación </w:t>
      </w:r>
    </w:p>
    <w:p w:rsidR="0069342A" w:rsidRPr="00B65630" w:rsidRDefault="00A15A5A" w:rsidP="0069342A">
      <w:pPr>
        <w:spacing w:line="360" w:lineRule="auto"/>
        <w:rPr>
          <w:rFonts w:ascii="Verdana" w:hAnsi="Verdana"/>
          <w:b/>
          <w:lang w:val="es-MX"/>
        </w:rPr>
      </w:pPr>
      <w:r w:rsidRPr="00B65630">
        <w:rPr>
          <w:rFonts w:ascii="Verdana" w:hAnsi="Verdana"/>
          <w:b/>
          <w:lang w:val="es-MX"/>
        </w:rPr>
        <w:t>5.1. Proyectos admisibles</w:t>
      </w:r>
    </w:p>
    <w:tbl>
      <w:tblPr>
        <w:tblW w:w="3163" w:type="dxa"/>
        <w:jc w:val="center"/>
        <w:tblInd w:w="65" w:type="dxa"/>
        <w:tblCellMar>
          <w:left w:w="70" w:type="dxa"/>
          <w:right w:w="70" w:type="dxa"/>
        </w:tblCellMar>
        <w:tblLook w:val="04A0" w:firstRow="1" w:lastRow="0" w:firstColumn="1" w:lastColumn="0" w:noHBand="0" w:noVBand="1"/>
      </w:tblPr>
      <w:tblGrid>
        <w:gridCol w:w="1515"/>
        <w:gridCol w:w="1417"/>
        <w:gridCol w:w="1417"/>
      </w:tblGrid>
      <w:tr w:rsidR="0069342A" w:rsidRPr="00B65630" w:rsidTr="0069342A">
        <w:trPr>
          <w:trHeight w:val="256"/>
          <w:jc w:val="center"/>
        </w:trPr>
        <w:tc>
          <w:tcPr>
            <w:tcW w:w="1259"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REGION</w:t>
            </w:r>
          </w:p>
        </w:tc>
        <w:tc>
          <w:tcPr>
            <w:tcW w:w="952" w:type="dxa"/>
            <w:tcBorders>
              <w:top w:val="single" w:sz="4" w:space="0" w:color="auto"/>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ADMISIBLES 2011</w:t>
            </w:r>
          </w:p>
        </w:tc>
        <w:tc>
          <w:tcPr>
            <w:tcW w:w="952" w:type="dxa"/>
            <w:tcBorders>
              <w:top w:val="single" w:sz="4" w:space="0" w:color="auto"/>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ADMISIBLES 2012</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 xml:space="preserve">Arica y </w:t>
            </w:r>
            <w:proofErr w:type="spellStart"/>
            <w:r w:rsidRPr="00B65630">
              <w:rPr>
                <w:rFonts w:ascii="Verdana" w:eastAsia="Times New Roman" w:hAnsi="Verdana" w:cs="Calibri"/>
                <w:color w:val="000000"/>
                <w:sz w:val="20"/>
                <w:szCs w:val="20"/>
                <w:lang w:eastAsia="es-CL"/>
              </w:rPr>
              <w:t>Parinacota</w:t>
            </w:r>
            <w:proofErr w:type="spellEnd"/>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4</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Tarapacá</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4</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lastRenderedPageBreak/>
              <w:t>Antofagasta</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8</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Atacama</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6</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Coquimbo</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14</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12</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Valparaíso</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10</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29</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Metropolitana</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10</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41</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O´Higgins</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Maule</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0</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shd w:val="clear" w:color="auto" w:fill="FFFFFF"/>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proofErr w:type="spellStart"/>
            <w:r w:rsidRPr="00B65630">
              <w:rPr>
                <w:rFonts w:ascii="Verdana" w:eastAsia="Times New Roman" w:hAnsi="Verdana" w:cs="Calibri"/>
                <w:color w:val="000000"/>
                <w:sz w:val="20"/>
                <w:szCs w:val="20"/>
                <w:lang w:eastAsia="es-CL"/>
              </w:rPr>
              <w:t>Biobio</w:t>
            </w:r>
            <w:proofErr w:type="spellEnd"/>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22</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34</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shd w:val="clear" w:color="auto" w:fill="FFFFFF"/>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Araucanía</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7</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11</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Los Ríos</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6</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13</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Los Lagos</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8</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 xml:space="preserve">Aysén </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Magallanes</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c>
          <w:tcPr>
            <w:tcW w:w="952"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3</w:t>
            </w:r>
          </w:p>
        </w:tc>
      </w:tr>
      <w:tr w:rsidR="0069342A" w:rsidRPr="00B65630" w:rsidTr="0069342A">
        <w:trPr>
          <w:trHeight w:val="256"/>
          <w:jc w:val="center"/>
        </w:trPr>
        <w:tc>
          <w:tcPr>
            <w:tcW w:w="1259" w:type="dxa"/>
            <w:tcBorders>
              <w:top w:val="nil"/>
              <w:left w:val="single" w:sz="4" w:space="0" w:color="auto"/>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TOTAL</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104</w:t>
            </w:r>
          </w:p>
        </w:tc>
        <w:tc>
          <w:tcPr>
            <w:tcW w:w="952" w:type="dxa"/>
            <w:tcBorders>
              <w:top w:val="nil"/>
              <w:left w:val="nil"/>
              <w:bottom w:val="single" w:sz="4" w:space="0" w:color="auto"/>
              <w:right w:val="single" w:sz="4" w:space="0" w:color="auto"/>
            </w:tcBorders>
            <w:shd w:val="clear" w:color="auto" w:fill="D8D8D8"/>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169</w:t>
            </w:r>
          </w:p>
        </w:tc>
      </w:tr>
    </w:tbl>
    <w:p w:rsidR="0069342A" w:rsidRPr="00B65630" w:rsidRDefault="0069342A" w:rsidP="0069342A">
      <w:pPr>
        <w:spacing w:line="360" w:lineRule="auto"/>
        <w:rPr>
          <w:rFonts w:ascii="Verdana" w:hAnsi="Verdana"/>
          <w:lang w:val="es-MX"/>
        </w:rPr>
      </w:pPr>
    </w:p>
    <w:p w:rsidR="0069342A" w:rsidRPr="00B65630" w:rsidRDefault="0069342A" w:rsidP="0069342A">
      <w:pPr>
        <w:spacing w:line="360" w:lineRule="auto"/>
        <w:rPr>
          <w:rFonts w:ascii="Verdana" w:hAnsi="Verdana"/>
          <w:lang w:val="es-MX"/>
        </w:rPr>
      </w:pPr>
      <w:r w:rsidRPr="00B65630">
        <w:rPr>
          <w:rFonts w:ascii="Verdana" w:hAnsi="Verdana"/>
          <w:noProof/>
          <w:lang w:eastAsia="es-CL"/>
        </w:rPr>
        <w:drawing>
          <wp:inline distT="0" distB="0" distL="0" distR="0" wp14:anchorId="514C082E" wp14:editId="6CE2BE60">
            <wp:extent cx="5629275" cy="35528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342A" w:rsidRPr="00B65630" w:rsidRDefault="0069342A" w:rsidP="0069342A">
      <w:pPr>
        <w:spacing w:line="360" w:lineRule="auto"/>
        <w:rPr>
          <w:rFonts w:ascii="Verdana" w:hAnsi="Verdana"/>
          <w:lang w:val="es-MX"/>
        </w:rPr>
      </w:pPr>
    </w:p>
    <w:p w:rsidR="0069342A" w:rsidRPr="00B65630" w:rsidRDefault="00A15A5A" w:rsidP="0069342A">
      <w:pPr>
        <w:spacing w:line="360" w:lineRule="auto"/>
        <w:rPr>
          <w:rFonts w:ascii="Verdana" w:hAnsi="Verdana"/>
          <w:b/>
          <w:lang w:val="es-MX"/>
        </w:rPr>
      </w:pPr>
      <w:r w:rsidRPr="00B65630">
        <w:rPr>
          <w:rFonts w:ascii="Verdana" w:hAnsi="Verdana"/>
          <w:b/>
          <w:lang w:val="es-MX"/>
        </w:rPr>
        <w:t xml:space="preserve">5.2.- Proyectos seleccionados </w:t>
      </w:r>
      <w:r w:rsidR="0069342A" w:rsidRPr="00B65630">
        <w:rPr>
          <w:rFonts w:ascii="Verdana" w:hAnsi="Verdana"/>
          <w:b/>
          <w:lang w:val="es-MX"/>
        </w:rPr>
        <w:t xml:space="preserve"> </w:t>
      </w:r>
    </w:p>
    <w:p w:rsidR="00677910" w:rsidRPr="00B65630" w:rsidRDefault="00677910" w:rsidP="0069342A">
      <w:pPr>
        <w:spacing w:line="360" w:lineRule="auto"/>
        <w:rPr>
          <w:rFonts w:ascii="Verdana" w:hAnsi="Verdana"/>
          <w:b/>
          <w:lang w:val="es-MX"/>
        </w:rPr>
      </w:pPr>
      <w:r w:rsidRPr="00B65630">
        <w:rPr>
          <w:rFonts w:ascii="Verdana" w:hAnsi="Verdana"/>
          <w:b/>
          <w:lang w:val="es-MX"/>
        </w:rPr>
        <w:lastRenderedPageBreak/>
        <w:t xml:space="preserve">La distribución de proyectos seleccionador por región es la siguiente: </w:t>
      </w:r>
    </w:p>
    <w:p w:rsidR="00677910" w:rsidRPr="00B65630" w:rsidRDefault="00677910" w:rsidP="0069342A">
      <w:pPr>
        <w:spacing w:line="360" w:lineRule="auto"/>
        <w:rPr>
          <w:rFonts w:ascii="Verdana" w:hAnsi="Verdana"/>
          <w:b/>
          <w:lang w:val="es-MX"/>
        </w:rPr>
      </w:pPr>
    </w:p>
    <w:tbl>
      <w:tblPr>
        <w:tblW w:w="4884" w:type="dxa"/>
        <w:jc w:val="center"/>
        <w:tblInd w:w="65" w:type="dxa"/>
        <w:tblCellMar>
          <w:left w:w="70" w:type="dxa"/>
          <w:right w:w="70" w:type="dxa"/>
        </w:tblCellMar>
        <w:tblLook w:val="04A0" w:firstRow="1" w:lastRow="0" w:firstColumn="1" w:lastColumn="0" w:noHBand="0" w:noVBand="1"/>
      </w:tblPr>
      <w:tblGrid>
        <w:gridCol w:w="1618"/>
        <w:gridCol w:w="1897"/>
        <w:gridCol w:w="1897"/>
      </w:tblGrid>
      <w:tr w:rsidR="0069342A" w:rsidRPr="00B65630" w:rsidTr="0069342A">
        <w:trPr>
          <w:trHeight w:val="300"/>
          <w:jc w:val="center"/>
        </w:trPr>
        <w:tc>
          <w:tcPr>
            <w:tcW w:w="1618" w:type="dxa"/>
            <w:tcBorders>
              <w:top w:val="single" w:sz="4" w:space="0" w:color="auto"/>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REGION</w:t>
            </w:r>
          </w:p>
        </w:tc>
        <w:tc>
          <w:tcPr>
            <w:tcW w:w="1506" w:type="dxa"/>
            <w:tcBorders>
              <w:top w:val="single" w:sz="4" w:space="0" w:color="auto"/>
              <w:left w:val="nil"/>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SELECCIONADOS 2011</w:t>
            </w:r>
          </w:p>
        </w:tc>
        <w:tc>
          <w:tcPr>
            <w:tcW w:w="1760" w:type="dxa"/>
            <w:tcBorders>
              <w:top w:val="single" w:sz="4" w:space="0" w:color="auto"/>
              <w:left w:val="nil"/>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SELECCIONADOS 2012</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 xml:space="preserve">Arica y </w:t>
            </w:r>
            <w:proofErr w:type="spellStart"/>
            <w:r w:rsidRPr="00B65630">
              <w:rPr>
                <w:rFonts w:ascii="Verdana" w:eastAsia="Times New Roman" w:hAnsi="Verdana" w:cs="Calibri"/>
                <w:color w:val="000000"/>
                <w:sz w:val="20"/>
                <w:szCs w:val="20"/>
                <w:lang w:eastAsia="es-CL"/>
              </w:rPr>
              <w:t>Parinacota</w:t>
            </w:r>
            <w:proofErr w:type="spellEnd"/>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0</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Tarapacá</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3</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Antofagasta</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Atacama</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0</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Coquimbo</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10</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6</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Valparaíso</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10</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Metropolitana</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5</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11</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O´Higgins</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0</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Maule</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0</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0</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proofErr w:type="spellStart"/>
            <w:r w:rsidRPr="00B65630">
              <w:rPr>
                <w:rFonts w:ascii="Verdana" w:eastAsia="Times New Roman" w:hAnsi="Verdana" w:cs="Calibri"/>
                <w:color w:val="000000"/>
                <w:sz w:val="20"/>
                <w:szCs w:val="20"/>
                <w:lang w:eastAsia="es-CL"/>
              </w:rPr>
              <w:t>Biobio</w:t>
            </w:r>
            <w:proofErr w:type="spellEnd"/>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18</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13</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Araucanía</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3</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Los Ríos</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3</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6</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Los Lagos</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4</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 xml:space="preserve">Aysén </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4</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Magallanes</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2</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3</w:t>
            </w:r>
          </w:p>
        </w:tc>
      </w:tr>
      <w:tr w:rsidR="0069342A" w:rsidRPr="00B65630" w:rsidTr="0069342A">
        <w:trPr>
          <w:trHeight w:val="300"/>
          <w:jc w:val="center"/>
        </w:trPr>
        <w:tc>
          <w:tcPr>
            <w:tcW w:w="1618" w:type="dxa"/>
            <w:tcBorders>
              <w:top w:val="nil"/>
              <w:left w:val="single" w:sz="4" w:space="0" w:color="auto"/>
              <w:bottom w:val="single" w:sz="4" w:space="0" w:color="auto"/>
              <w:right w:val="single" w:sz="4" w:space="0" w:color="auto"/>
            </w:tcBorders>
            <w:noWrap/>
            <w:vAlign w:val="bottom"/>
            <w:hideMark/>
          </w:tcPr>
          <w:p w:rsidR="0069342A" w:rsidRPr="00B65630" w:rsidRDefault="0069342A" w:rsidP="0069342A">
            <w:pPr>
              <w:spacing w:after="0" w:line="360" w:lineRule="auto"/>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TOTAL</w:t>
            </w:r>
          </w:p>
        </w:tc>
        <w:tc>
          <w:tcPr>
            <w:tcW w:w="1506"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61</w:t>
            </w:r>
          </w:p>
        </w:tc>
        <w:tc>
          <w:tcPr>
            <w:tcW w:w="1760" w:type="dxa"/>
            <w:tcBorders>
              <w:top w:val="nil"/>
              <w:left w:val="nil"/>
              <w:bottom w:val="single" w:sz="4" w:space="0" w:color="auto"/>
              <w:right w:val="single" w:sz="4" w:space="0" w:color="auto"/>
            </w:tcBorders>
            <w:noWrap/>
            <w:vAlign w:val="bottom"/>
            <w:hideMark/>
          </w:tcPr>
          <w:p w:rsidR="0069342A" w:rsidRPr="00B65630" w:rsidRDefault="0069342A" w:rsidP="0069342A">
            <w:pPr>
              <w:spacing w:after="0" w:line="360" w:lineRule="auto"/>
              <w:jc w:val="center"/>
              <w:rPr>
                <w:rFonts w:ascii="Verdana" w:eastAsia="Times New Roman" w:hAnsi="Verdana" w:cs="Calibri"/>
                <w:color w:val="000000"/>
                <w:sz w:val="20"/>
                <w:szCs w:val="20"/>
                <w:lang w:eastAsia="es-CL"/>
              </w:rPr>
            </w:pPr>
            <w:r w:rsidRPr="00B65630">
              <w:rPr>
                <w:rFonts w:ascii="Verdana" w:eastAsia="Times New Roman" w:hAnsi="Verdana" w:cs="Calibri"/>
                <w:color w:val="000000"/>
                <w:sz w:val="20"/>
                <w:szCs w:val="20"/>
                <w:lang w:eastAsia="es-CL"/>
              </w:rPr>
              <w:t>63</w:t>
            </w:r>
          </w:p>
        </w:tc>
      </w:tr>
    </w:tbl>
    <w:p w:rsidR="0069342A" w:rsidRPr="00B65630" w:rsidRDefault="0069342A" w:rsidP="0069342A">
      <w:pPr>
        <w:spacing w:line="360" w:lineRule="auto"/>
        <w:rPr>
          <w:rFonts w:ascii="Verdana" w:hAnsi="Verdana"/>
          <w:lang w:val="es-MX"/>
        </w:rPr>
      </w:pPr>
    </w:p>
    <w:p w:rsidR="0069342A" w:rsidRPr="00B65630" w:rsidRDefault="0069342A" w:rsidP="0069342A">
      <w:pPr>
        <w:spacing w:line="360" w:lineRule="auto"/>
        <w:rPr>
          <w:rFonts w:ascii="Verdana" w:hAnsi="Verdana"/>
          <w:lang w:val="es-MX"/>
        </w:rPr>
      </w:pPr>
    </w:p>
    <w:p w:rsidR="0069342A" w:rsidRPr="00B65630" w:rsidRDefault="0069342A" w:rsidP="0069342A">
      <w:pPr>
        <w:spacing w:line="360" w:lineRule="auto"/>
        <w:jc w:val="center"/>
        <w:rPr>
          <w:rFonts w:ascii="Verdana" w:hAnsi="Verdana"/>
          <w:lang w:val="es-MX"/>
        </w:rPr>
      </w:pPr>
      <w:r w:rsidRPr="00B65630">
        <w:rPr>
          <w:rFonts w:ascii="Verdana" w:hAnsi="Verdana"/>
          <w:noProof/>
          <w:lang w:eastAsia="es-CL"/>
        </w:rPr>
        <w:lastRenderedPageBreak/>
        <w:drawing>
          <wp:inline distT="0" distB="0" distL="0" distR="0" wp14:anchorId="51AE57C5" wp14:editId="2869F3D0">
            <wp:extent cx="5314950" cy="46863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342A" w:rsidRPr="00B65630" w:rsidRDefault="00677910" w:rsidP="0069342A">
      <w:pPr>
        <w:spacing w:line="360" w:lineRule="auto"/>
        <w:rPr>
          <w:rFonts w:ascii="Verdana" w:hAnsi="Verdana"/>
          <w:lang w:val="es-MX"/>
        </w:rPr>
      </w:pPr>
      <w:r w:rsidRPr="00B65630">
        <w:rPr>
          <w:rFonts w:ascii="Verdana" w:hAnsi="Verdana"/>
          <w:lang w:val="es-MX"/>
        </w:rPr>
        <w:t xml:space="preserve">Se observa que las regiones con mayor cantidad de proyectos adjudicados o seleccionados son la Región Metropolitana, La Región del Biobío, y la región de Valparaíso, que si sumamos, se adjudican más del 50% de los proyectos. </w:t>
      </w:r>
    </w:p>
    <w:p w:rsidR="0069342A" w:rsidRPr="00B65630" w:rsidRDefault="0069342A" w:rsidP="0069342A">
      <w:pPr>
        <w:spacing w:line="360" w:lineRule="auto"/>
        <w:rPr>
          <w:rFonts w:ascii="Verdana" w:hAnsi="Verdana"/>
          <w:b/>
          <w:lang w:val="es-MX"/>
        </w:rPr>
      </w:pPr>
    </w:p>
    <w:p w:rsidR="0069342A" w:rsidRPr="00B65630" w:rsidRDefault="00A15A5A" w:rsidP="0069342A">
      <w:pPr>
        <w:spacing w:line="360" w:lineRule="auto"/>
        <w:rPr>
          <w:rFonts w:ascii="Verdana" w:hAnsi="Verdana"/>
          <w:b/>
          <w:lang w:val="es-MX"/>
        </w:rPr>
      </w:pPr>
      <w:r w:rsidRPr="00B65630">
        <w:rPr>
          <w:rFonts w:ascii="Verdana" w:hAnsi="Verdana"/>
          <w:b/>
          <w:lang w:val="es-MX"/>
        </w:rPr>
        <w:t xml:space="preserve">5.3. Recursos entregados por región </w:t>
      </w:r>
    </w:p>
    <w:tbl>
      <w:tblPr>
        <w:tblW w:w="9090"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87"/>
        <w:gridCol w:w="1798"/>
        <w:gridCol w:w="1805"/>
      </w:tblGrid>
      <w:tr w:rsidR="0069342A" w:rsidRPr="00B65630" w:rsidTr="0069342A">
        <w:trPr>
          <w:trHeight w:val="304"/>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lang w:eastAsia="es-CL"/>
              </w:rPr>
            </w:pPr>
            <w:r w:rsidRPr="00B65630">
              <w:rPr>
                <w:rFonts w:ascii="Verdana" w:eastAsia="Times New Roman" w:hAnsi="Verdana" w:cstheme="minorHAnsi"/>
                <w:b/>
                <w:bCs/>
                <w:color w:val="000000"/>
                <w:lang w:eastAsia="es-CL"/>
              </w:rPr>
              <w:t>Región</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lang w:eastAsia="es-CL"/>
              </w:rPr>
            </w:pPr>
            <w:r w:rsidRPr="00B65630">
              <w:rPr>
                <w:rFonts w:ascii="Verdana" w:eastAsia="Times New Roman" w:hAnsi="Verdana" w:cstheme="minorHAnsi"/>
                <w:b/>
                <w:bCs/>
                <w:color w:val="000000"/>
                <w:lang w:eastAsia="es-CL"/>
              </w:rPr>
              <w:t>Monto</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b/>
                <w:bCs/>
                <w:color w:val="000000"/>
                <w:lang w:eastAsia="es-CL"/>
              </w:rPr>
            </w:pPr>
            <w:r w:rsidRPr="00B65630">
              <w:rPr>
                <w:rFonts w:ascii="Verdana" w:eastAsia="Times New Roman" w:hAnsi="Verdana" w:cstheme="minorHAnsi"/>
                <w:b/>
                <w:bCs/>
                <w:color w:val="000000"/>
                <w:lang w:eastAsia="es-CL"/>
              </w:rPr>
              <w:t>N° proyectos</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(Nivel Central)</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FF0000"/>
                <w:lang w:eastAsia="es-CL"/>
              </w:rPr>
            </w:pPr>
            <w:r w:rsidRPr="00830A31">
              <w:rPr>
                <w:rFonts w:ascii="Verdana" w:eastAsia="Times New Roman" w:hAnsi="Verdana" w:cstheme="minorHAnsi"/>
                <w:lang w:eastAsia="es-CL"/>
              </w:rPr>
              <w:t>-$ 466.907.000</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63</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xml:space="preserve">Concurso (Región de Arica y </w:t>
            </w:r>
            <w:proofErr w:type="spellStart"/>
            <w:r w:rsidRPr="00B65630">
              <w:rPr>
                <w:rFonts w:ascii="Verdana" w:eastAsia="Times New Roman" w:hAnsi="Verdana" w:cstheme="minorHAnsi"/>
                <w:color w:val="000000"/>
                <w:lang w:eastAsia="es-CL"/>
              </w:rPr>
              <w:t>Parinacota</w:t>
            </w:r>
            <w:proofErr w:type="spellEnd"/>
            <w:r w:rsidRPr="00B65630">
              <w:rPr>
                <w:rFonts w:ascii="Verdana" w:eastAsia="Times New Roman" w:hAnsi="Verdana" w:cstheme="minorHAnsi"/>
                <w:color w:val="000000"/>
                <w:lang w:eastAsia="es-CL"/>
              </w:rPr>
              <w:t>)</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$ 9.956.313</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1</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Tarapacá)</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$ 18.328.816</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2</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Antofagasta)</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$ 4.584.739</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1</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lastRenderedPageBreak/>
              <w:t>Concurso (Región de Coquimbo)</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$ 46.015.336</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6</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Valparaíso)</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$ 75.882.666</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10</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Biobío)</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$ 103.757.799</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13</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La Araucanía)</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$ 16.364.582</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2</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Los Ríos)</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$ 43.671.492</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6</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Los Lagos)</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$ 27.424.499</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4</w:t>
            </w:r>
          </w:p>
        </w:tc>
      </w:tr>
      <w:tr w:rsidR="0069342A" w:rsidRPr="00B65630" w:rsidTr="0069342A">
        <w:trPr>
          <w:trHeight w:val="911"/>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Aysén del General Carlos Ibáñez del Campo)</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$ 13.295.820</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4</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de Magallanes)</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$ 21.764.048</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3</w:t>
            </w:r>
          </w:p>
        </w:tc>
      </w:tr>
      <w:tr w:rsidR="0069342A" w:rsidRPr="00B65630" w:rsidTr="0069342A">
        <w:trPr>
          <w:trHeight w:val="455"/>
          <w:jc w:val="center"/>
        </w:trPr>
        <w:tc>
          <w:tcPr>
            <w:tcW w:w="5487"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Concurso (Región Metropolitana)</w:t>
            </w:r>
          </w:p>
        </w:tc>
        <w:tc>
          <w:tcPr>
            <w:tcW w:w="1798" w:type="dxa"/>
            <w:tcBorders>
              <w:top w:val="single" w:sz="4" w:space="0" w:color="auto"/>
              <w:left w:val="single" w:sz="4" w:space="0" w:color="auto"/>
              <w:bottom w:val="single" w:sz="4" w:space="0" w:color="auto"/>
              <w:right w:val="single" w:sz="4" w:space="0" w:color="auto"/>
            </w:tcBorders>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$ 85.860.890</w:t>
            </w:r>
          </w:p>
        </w:tc>
        <w:tc>
          <w:tcPr>
            <w:tcW w:w="1805" w:type="dxa"/>
            <w:tcBorders>
              <w:top w:val="single" w:sz="4" w:space="0" w:color="auto"/>
              <w:left w:val="single" w:sz="4" w:space="0" w:color="auto"/>
              <w:bottom w:val="single" w:sz="4" w:space="0" w:color="auto"/>
              <w:right w:val="single" w:sz="4" w:space="0" w:color="auto"/>
            </w:tcBorders>
            <w:hideMark/>
          </w:tcPr>
          <w:p w:rsidR="0069342A" w:rsidRPr="00B65630" w:rsidRDefault="0069342A" w:rsidP="0069342A">
            <w:pPr>
              <w:spacing w:after="0" w:line="360" w:lineRule="auto"/>
              <w:jc w:val="center"/>
              <w:rPr>
                <w:rFonts w:ascii="Verdana" w:eastAsia="Times New Roman" w:hAnsi="Verdana" w:cstheme="minorHAnsi"/>
                <w:color w:val="000000"/>
                <w:lang w:eastAsia="es-CL"/>
              </w:rPr>
            </w:pPr>
            <w:r w:rsidRPr="00B65630">
              <w:rPr>
                <w:rFonts w:ascii="Verdana" w:eastAsia="Times New Roman" w:hAnsi="Verdana" w:cstheme="minorHAnsi"/>
                <w:color w:val="000000"/>
                <w:lang w:eastAsia="es-CL"/>
              </w:rPr>
              <w:t>11</w:t>
            </w:r>
          </w:p>
        </w:tc>
      </w:tr>
    </w:tbl>
    <w:p w:rsidR="0069342A" w:rsidRPr="00B65630" w:rsidRDefault="0069342A" w:rsidP="0069342A">
      <w:pPr>
        <w:spacing w:line="360" w:lineRule="auto"/>
        <w:jc w:val="center"/>
        <w:rPr>
          <w:rFonts w:ascii="Verdana" w:hAnsi="Verdana" w:cstheme="minorHAnsi"/>
          <w:lang w:val="es-MX"/>
        </w:rPr>
      </w:pPr>
    </w:p>
    <w:p w:rsidR="00A15A5A" w:rsidRPr="00B65630" w:rsidRDefault="0069342A" w:rsidP="007711BE">
      <w:pPr>
        <w:spacing w:line="360" w:lineRule="auto"/>
        <w:ind w:left="-284"/>
        <w:rPr>
          <w:rFonts w:ascii="Verdana" w:hAnsi="Verdana"/>
          <w:lang w:val="es-MX"/>
        </w:rPr>
      </w:pPr>
      <w:r w:rsidRPr="00B65630">
        <w:rPr>
          <w:rFonts w:ascii="Verdana" w:hAnsi="Verdana"/>
          <w:noProof/>
          <w:lang w:eastAsia="es-CL"/>
        </w:rPr>
        <w:drawing>
          <wp:inline distT="0" distB="0" distL="0" distR="0" wp14:anchorId="03BB44D6" wp14:editId="424C8A27">
            <wp:extent cx="6515100" cy="490537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342A" w:rsidRPr="00B65630" w:rsidRDefault="00A15A5A" w:rsidP="0069342A">
      <w:pPr>
        <w:spacing w:line="360" w:lineRule="auto"/>
        <w:rPr>
          <w:rFonts w:ascii="Verdana" w:hAnsi="Verdana"/>
          <w:b/>
          <w:lang w:val="es-MX"/>
        </w:rPr>
      </w:pPr>
      <w:r w:rsidRPr="00B65630">
        <w:rPr>
          <w:rFonts w:ascii="Verdana" w:hAnsi="Verdana"/>
          <w:b/>
          <w:lang w:val="es-MX"/>
        </w:rPr>
        <w:lastRenderedPageBreak/>
        <w:t xml:space="preserve">5.4.- </w:t>
      </w:r>
      <w:r w:rsidR="0069342A" w:rsidRPr="00B65630">
        <w:rPr>
          <w:rFonts w:ascii="Verdana" w:hAnsi="Verdana"/>
          <w:b/>
          <w:lang w:val="es-MX"/>
        </w:rPr>
        <w:t>Distribución de pro</w:t>
      </w:r>
      <w:r w:rsidRPr="00B65630">
        <w:rPr>
          <w:rFonts w:ascii="Verdana" w:hAnsi="Verdana"/>
          <w:b/>
          <w:lang w:val="es-MX"/>
        </w:rPr>
        <w:t>yectos postulados por categoría</w:t>
      </w:r>
    </w:p>
    <w:p w:rsidR="0069342A" w:rsidRPr="00B65630" w:rsidRDefault="0069342A" w:rsidP="0069342A">
      <w:pPr>
        <w:spacing w:line="360" w:lineRule="auto"/>
        <w:rPr>
          <w:rFonts w:ascii="Verdana" w:hAnsi="Verdana" w:cs="Calibri"/>
        </w:rPr>
      </w:pPr>
      <w:r w:rsidRPr="00B65630">
        <w:rPr>
          <w:rFonts w:ascii="Verdana" w:hAnsi="Verdana" w:cs="Calibri"/>
        </w:rPr>
        <w:t xml:space="preserve">Respecto del proceso de evaluación es importante mencionar el comportamiento de los postulantes por línea y modalidad. </w:t>
      </w:r>
    </w:p>
    <w:tbl>
      <w:tblPr>
        <w:tblW w:w="9187" w:type="dxa"/>
        <w:tblInd w:w="55" w:type="dxa"/>
        <w:tblCellMar>
          <w:left w:w="70" w:type="dxa"/>
          <w:right w:w="70" w:type="dxa"/>
        </w:tblCellMar>
        <w:tblLook w:val="04A0" w:firstRow="1" w:lastRow="0" w:firstColumn="1" w:lastColumn="0" w:noHBand="0" w:noVBand="1"/>
      </w:tblPr>
      <w:tblGrid>
        <w:gridCol w:w="1844"/>
        <w:gridCol w:w="2337"/>
        <w:gridCol w:w="2337"/>
        <w:gridCol w:w="2337"/>
        <w:gridCol w:w="886"/>
      </w:tblGrid>
      <w:tr w:rsidR="0069342A" w:rsidRPr="00B65630" w:rsidTr="0069342A">
        <w:trPr>
          <w:trHeight w:val="1052"/>
        </w:trPr>
        <w:tc>
          <w:tcPr>
            <w:tcW w:w="1290" w:type="dxa"/>
            <w:tcBorders>
              <w:top w:val="single" w:sz="4" w:space="0" w:color="auto"/>
              <w:left w:val="single" w:sz="4" w:space="0" w:color="auto"/>
              <w:bottom w:val="nil"/>
              <w:right w:val="single" w:sz="4"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proofErr w:type="spellStart"/>
            <w:r w:rsidRPr="00B65630">
              <w:rPr>
                <w:rFonts w:ascii="Verdana" w:eastAsia="Times New Roman" w:hAnsi="Verdana" w:cstheme="minorHAnsi"/>
                <w:b/>
                <w:bCs/>
                <w:color w:val="000000"/>
                <w:sz w:val="18"/>
                <w:szCs w:val="18"/>
                <w:lang w:eastAsia="es-CL"/>
              </w:rPr>
              <w:t>Linea</w:t>
            </w:r>
            <w:proofErr w:type="spellEnd"/>
            <w:r w:rsidRPr="00B65630">
              <w:rPr>
                <w:rFonts w:ascii="Verdana" w:eastAsia="Times New Roman" w:hAnsi="Verdana" w:cstheme="minorHAnsi"/>
                <w:b/>
                <w:bCs/>
                <w:color w:val="000000"/>
                <w:sz w:val="18"/>
                <w:szCs w:val="18"/>
                <w:lang w:eastAsia="es-CL"/>
              </w:rPr>
              <w:t>/Modalidad</w:t>
            </w:r>
          </w:p>
        </w:tc>
        <w:tc>
          <w:tcPr>
            <w:tcW w:w="2337" w:type="dxa"/>
            <w:tcBorders>
              <w:top w:val="single" w:sz="4" w:space="0" w:color="auto"/>
              <w:left w:val="nil"/>
              <w:bottom w:val="nil"/>
              <w:right w:val="single" w:sz="4"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Artística Diferenciada</w:t>
            </w:r>
          </w:p>
        </w:tc>
        <w:tc>
          <w:tcPr>
            <w:tcW w:w="2337" w:type="dxa"/>
            <w:tcBorders>
              <w:top w:val="single" w:sz="4" w:space="0" w:color="auto"/>
              <w:left w:val="nil"/>
              <w:bottom w:val="nil"/>
              <w:right w:val="single" w:sz="4"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Curriculum General</w:t>
            </w:r>
          </w:p>
        </w:tc>
        <w:tc>
          <w:tcPr>
            <w:tcW w:w="2337" w:type="dxa"/>
            <w:tcBorders>
              <w:top w:val="single" w:sz="4" w:space="0" w:color="auto"/>
              <w:left w:val="nil"/>
              <w:bottom w:val="nil"/>
              <w:right w:val="single" w:sz="4"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 xml:space="preserve">Educación no formal </w:t>
            </w:r>
          </w:p>
        </w:tc>
        <w:tc>
          <w:tcPr>
            <w:tcW w:w="886" w:type="dxa"/>
            <w:tcBorders>
              <w:top w:val="single" w:sz="4" w:space="0" w:color="auto"/>
              <w:left w:val="nil"/>
              <w:bottom w:val="single" w:sz="4" w:space="0" w:color="auto"/>
              <w:right w:val="single" w:sz="4" w:space="0" w:color="auto"/>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Total por línea</w:t>
            </w:r>
          </w:p>
        </w:tc>
      </w:tr>
      <w:tr w:rsidR="0069342A" w:rsidRPr="00B65630" w:rsidTr="0069342A">
        <w:trPr>
          <w:trHeight w:val="739"/>
        </w:trPr>
        <w:tc>
          <w:tcPr>
            <w:tcW w:w="1290" w:type="dxa"/>
            <w:tcBorders>
              <w:top w:val="single" w:sz="8" w:space="0" w:color="auto"/>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Implementación y mejoramiento curricular</w:t>
            </w:r>
          </w:p>
        </w:tc>
        <w:tc>
          <w:tcPr>
            <w:tcW w:w="233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13</w:t>
            </w:r>
          </w:p>
        </w:tc>
        <w:tc>
          <w:tcPr>
            <w:tcW w:w="2337" w:type="dxa"/>
            <w:tcBorders>
              <w:top w:val="single" w:sz="8" w:space="0" w:color="auto"/>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19</w:t>
            </w:r>
          </w:p>
        </w:tc>
        <w:tc>
          <w:tcPr>
            <w:tcW w:w="2337" w:type="dxa"/>
            <w:tcBorders>
              <w:top w:val="single" w:sz="8" w:space="0" w:color="auto"/>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12</w:t>
            </w:r>
          </w:p>
        </w:tc>
        <w:tc>
          <w:tcPr>
            <w:tcW w:w="886" w:type="dxa"/>
            <w:tcBorders>
              <w:top w:val="nil"/>
              <w:left w:val="nil"/>
              <w:bottom w:val="single" w:sz="8" w:space="0" w:color="auto"/>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44</w:t>
            </w:r>
          </w:p>
        </w:tc>
      </w:tr>
      <w:tr w:rsidR="0069342A" w:rsidRPr="00B65630" w:rsidTr="0069342A">
        <w:trPr>
          <w:trHeight w:val="739"/>
        </w:trPr>
        <w:tc>
          <w:tcPr>
            <w:tcW w:w="1290" w:type="dxa"/>
            <w:tcBorders>
              <w:top w:val="nil"/>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Perfeccionamiento docente y directivo</w:t>
            </w:r>
          </w:p>
        </w:tc>
        <w:tc>
          <w:tcPr>
            <w:tcW w:w="2337" w:type="dxa"/>
            <w:tcBorders>
              <w:top w:val="nil"/>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8</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9</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0</w:t>
            </w:r>
          </w:p>
        </w:tc>
        <w:tc>
          <w:tcPr>
            <w:tcW w:w="886" w:type="dxa"/>
            <w:tcBorders>
              <w:top w:val="nil"/>
              <w:left w:val="nil"/>
              <w:bottom w:val="single" w:sz="8" w:space="0" w:color="auto"/>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17</w:t>
            </w:r>
          </w:p>
        </w:tc>
      </w:tr>
      <w:tr w:rsidR="0069342A" w:rsidRPr="00B65630" w:rsidTr="0069342A">
        <w:trPr>
          <w:trHeight w:val="739"/>
        </w:trPr>
        <w:tc>
          <w:tcPr>
            <w:tcW w:w="1290" w:type="dxa"/>
            <w:tcBorders>
              <w:top w:val="nil"/>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Equipamiento y materiales de enseñanza</w:t>
            </w:r>
          </w:p>
        </w:tc>
        <w:tc>
          <w:tcPr>
            <w:tcW w:w="2337" w:type="dxa"/>
            <w:tcBorders>
              <w:top w:val="nil"/>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42</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19</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11</w:t>
            </w:r>
          </w:p>
        </w:tc>
        <w:tc>
          <w:tcPr>
            <w:tcW w:w="886" w:type="dxa"/>
            <w:tcBorders>
              <w:top w:val="nil"/>
              <w:left w:val="nil"/>
              <w:bottom w:val="single" w:sz="8" w:space="0" w:color="auto"/>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72</w:t>
            </w:r>
          </w:p>
        </w:tc>
      </w:tr>
      <w:tr w:rsidR="0069342A" w:rsidRPr="00B65630" w:rsidTr="0069342A">
        <w:trPr>
          <w:trHeight w:val="498"/>
        </w:trPr>
        <w:tc>
          <w:tcPr>
            <w:tcW w:w="1290" w:type="dxa"/>
            <w:tcBorders>
              <w:top w:val="nil"/>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 xml:space="preserve">Difusión y Extensión </w:t>
            </w:r>
          </w:p>
        </w:tc>
        <w:tc>
          <w:tcPr>
            <w:tcW w:w="2337" w:type="dxa"/>
            <w:tcBorders>
              <w:top w:val="nil"/>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25</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11</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8</w:t>
            </w:r>
          </w:p>
        </w:tc>
        <w:tc>
          <w:tcPr>
            <w:tcW w:w="886" w:type="dxa"/>
            <w:tcBorders>
              <w:top w:val="nil"/>
              <w:left w:val="nil"/>
              <w:bottom w:val="nil"/>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44</w:t>
            </w:r>
          </w:p>
        </w:tc>
      </w:tr>
      <w:tr w:rsidR="0069342A" w:rsidRPr="00B65630" w:rsidTr="0069342A">
        <w:trPr>
          <w:trHeight w:val="498"/>
        </w:trPr>
        <w:tc>
          <w:tcPr>
            <w:tcW w:w="1290" w:type="dxa"/>
            <w:tcBorders>
              <w:top w:val="nil"/>
              <w:left w:val="single" w:sz="8" w:space="0" w:color="auto"/>
              <w:bottom w:val="single" w:sz="8" w:space="0" w:color="auto"/>
              <w:right w:val="nil"/>
            </w:tcBorders>
            <w:shd w:val="clear" w:color="auto" w:fill="E26B0A"/>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 xml:space="preserve">Total por Modalidad </w:t>
            </w:r>
          </w:p>
        </w:tc>
        <w:tc>
          <w:tcPr>
            <w:tcW w:w="2337" w:type="dxa"/>
            <w:tcBorders>
              <w:top w:val="nil"/>
              <w:left w:val="single" w:sz="8" w:space="0" w:color="auto"/>
              <w:bottom w:val="single" w:sz="8" w:space="0" w:color="auto"/>
              <w:right w:val="single" w:sz="8"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88</w:t>
            </w:r>
          </w:p>
        </w:tc>
        <w:tc>
          <w:tcPr>
            <w:tcW w:w="2337" w:type="dxa"/>
            <w:tcBorders>
              <w:top w:val="nil"/>
              <w:left w:val="nil"/>
              <w:bottom w:val="single" w:sz="8" w:space="0" w:color="auto"/>
              <w:right w:val="single" w:sz="8"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58</w:t>
            </w:r>
          </w:p>
        </w:tc>
        <w:tc>
          <w:tcPr>
            <w:tcW w:w="2337" w:type="dxa"/>
            <w:tcBorders>
              <w:top w:val="nil"/>
              <w:left w:val="nil"/>
              <w:bottom w:val="single" w:sz="8" w:space="0" w:color="auto"/>
              <w:right w:val="nil"/>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31</w:t>
            </w:r>
          </w:p>
        </w:tc>
        <w:tc>
          <w:tcPr>
            <w:tcW w:w="88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177</w:t>
            </w:r>
          </w:p>
        </w:tc>
      </w:tr>
    </w:tbl>
    <w:p w:rsidR="0069342A" w:rsidRPr="00B65630" w:rsidRDefault="0069342A" w:rsidP="0069342A">
      <w:pPr>
        <w:spacing w:line="360" w:lineRule="auto"/>
        <w:rPr>
          <w:rFonts w:ascii="Verdana" w:hAnsi="Verdana"/>
          <w:sz w:val="20"/>
          <w:szCs w:val="20"/>
        </w:rPr>
      </w:pPr>
      <w:r w:rsidRPr="00B65630">
        <w:rPr>
          <w:rFonts w:ascii="Verdana" w:hAnsi="Verdana"/>
          <w:sz w:val="20"/>
          <w:szCs w:val="20"/>
        </w:rPr>
        <w:t>Fuente: Elaboración propia, margen de error de la tabla 5%.</w:t>
      </w:r>
    </w:p>
    <w:p w:rsidR="00A15A5A" w:rsidRPr="00B65630" w:rsidRDefault="00A15A5A" w:rsidP="00A15A5A">
      <w:pPr>
        <w:spacing w:line="360" w:lineRule="auto"/>
        <w:jc w:val="both"/>
        <w:rPr>
          <w:rFonts w:ascii="Verdana" w:hAnsi="Verdana"/>
          <w:sz w:val="20"/>
          <w:szCs w:val="20"/>
        </w:rPr>
      </w:pPr>
      <w:r w:rsidRPr="00B65630">
        <w:rPr>
          <w:rFonts w:ascii="Verdana" w:hAnsi="Verdana"/>
          <w:sz w:val="20"/>
          <w:szCs w:val="20"/>
        </w:rPr>
        <w:t xml:space="preserve">Se puede observar en el cuadro anterior que la línea de Formación artística diferenciada, postula sus proyectos mayormente a la modalidad de material de enseñanza, también podemos observar que la línea de proyectos artísticos en el currículum general, postula la mayoría de sus proyectos a la modalidad de implementación y mejoramiento curricular y a la modalidad de equipamiento y material de enseñanza. Así mismo, la línea de proyectos artísticos de educación no formal, postula mayormente a la modalidad de implementación y mejoramiento curricular y también a equipamiento y material de enseñanza. </w:t>
      </w:r>
    </w:p>
    <w:p w:rsidR="00A15A5A" w:rsidRPr="00B65630" w:rsidRDefault="00A15A5A" w:rsidP="00A15A5A">
      <w:pPr>
        <w:spacing w:line="360" w:lineRule="auto"/>
        <w:jc w:val="both"/>
        <w:rPr>
          <w:rFonts w:ascii="Verdana" w:hAnsi="Verdana"/>
          <w:sz w:val="20"/>
          <w:szCs w:val="20"/>
        </w:rPr>
      </w:pPr>
      <w:r w:rsidRPr="00B65630">
        <w:rPr>
          <w:rFonts w:ascii="Verdana" w:hAnsi="Verdana"/>
          <w:sz w:val="20"/>
          <w:szCs w:val="20"/>
        </w:rPr>
        <w:t xml:space="preserve">Se puede observar que la adquisición de material de enseñanza es una necesidad que todas las instituciones manifiestan. </w:t>
      </w:r>
    </w:p>
    <w:p w:rsidR="00A15A5A" w:rsidRPr="00B65630" w:rsidRDefault="00A15A5A" w:rsidP="00A15A5A">
      <w:pPr>
        <w:spacing w:line="360" w:lineRule="auto"/>
        <w:jc w:val="both"/>
        <w:rPr>
          <w:rFonts w:ascii="Verdana" w:hAnsi="Verdana"/>
          <w:sz w:val="20"/>
          <w:szCs w:val="20"/>
        </w:rPr>
      </w:pPr>
    </w:p>
    <w:p w:rsidR="00A15A5A" w:rsidRPr="00B65630" w:rsidRDefault="00A15A5A" w:rsidP="0069342A">
      <w:pPr>
        <w:spacing w:line="360" w:lineRule="auto"/>
        <w:rPr>
          <w:rFonts w:ascii="Verdana" w:hAnsi="Verdana"/>
        </w:rPr>
      </w:pPr>
    </w:p>
    <w:p w:rsidR="00A15A5A" w:rsidRPr="00B65630" w:rsidRDefault="00A15A5A" w:rsidP="0069342A">
      <w:pPr>
        <w:spacing w:line="360" w:lineRule="auto"/>
        <w:rPr>
          <w:rFonts w:ascii="Verdana" w:hAnsi="Verdana"/>
        </w:rPr>
      </w:pPr>
    </w:p>
    <w:p w:rsidR="0069342A" w:rsidRPr="00B65630" w:rsidRDefault="0069342A" w:rsidP="0069342A">
      <w:pPr>
        <w:spacing w:line="360" w:lineRule="auto"/>
        <w:rPr>
          <w:rFonts w:ascii="Verdana" w:hAnsi="Verdana"/>
        </w:rPr>
      </w:pPr>
      <w:r w:rsidRPr="00B65630">
        <w:rPr>
          <w:rFonts w:ascii="Verdana" w:hAnsi="Verdana"/>
        </w:rPr>
        <w:t>Distribución de proyectos adjudicados por categoría</w:t>
      </w:r>
    </w:p>
    <w:tbl>
      <w:tblPr>
        <w:tblW w:w="9421" w:type="dxa"/>
        <w:tblInd w:w="55" w:type="dxa"/>
        <w:tblCellMar>
          <w:left w:w="70" w:type="dxa"/>
          <w:right w:w="70" w:type="dxa"/>
        </w:tblCellMar>
        <w:tblLook w:val="04A0" w:firstRow="1" w:lastRow="0" w:firstColumn="1" w:lastColumn="0" w:noHBand="0" w:noVBand="1"/>
      </w:tblPr>
      <w:tblGrid>
        <w:gridCol w:w="1844"/>
        <w:gridCol w:w="2337"/>
        <w:gridCol w:w="2337"/>
        <w:gridCol w:w="2337"/>
        <w:gridCol w:w="886"/>
      </w:tblGrid>
      <w:tr w:rsidR="0069342A" w:rsidRPr="00B65630" w:rsidTr="0069342A">
        <w:trPr>
          <w:trHeight w:val="1052"/>
        </w:trPr>
        <w:tc>
          <w:tcPr>
            <w:tcW w:w="1524" w:type="dxa"/>
            <w:tcBorders>
              <w:top w:val="single" w:sz="4" w:space="0" w:color="auto"/>
              <w:left w:val="single" w:sz="4" w:space="0" w:color="auto"/>
              <w:bottom w:val="nil"/>
              <w:right w:val="single" w:sz="4"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proofErr w:type="spellStart"/>
            <w:r w:rsidRPr="00B65630">
              <w:rPr>
                <w:rFonts w:ascii="Verdana" w:eastAsia="Times New Roman" w:hAnsi="Verdana" w:cstheme="minorHAnsi"/>
                <w:b/>
                <w:bCs/>
                <w:color w:val="000000"/>
                <w:sz w:val="18"/>
                <w:szCs w:val="18"/>
                <w:lang w:eastAsia="es-CL"/>
              </w:rPr>
              <w:t>Linea</w:t>
            </w:r>
            <w:proofErr w:type="spellEnd"/>
            <w:r w:rsidRPr="00B65630">
              <w:rPr>
                <w:rFonts w:ascii="Verdana" w:eastAsia="Times New Roman" w:hAnsi="Verdana" w:cstheme="minorHAnsi"/>
                <w:b/>
                <w:bCs/>
                <w:color w:val="000000"/>
                <w:sz w:val="18"/>
                <w:szCs w:val="18"/>
                <w:lang w:eastAsia="es-CL"/>
              </w:rPr>
              <w:t>/Modalidad</w:t>
            </w:r>
          </w:p>
        </w:tc>
        <w:tc>
          <w:tcPr>
            <w:tcW w:w="2337" w:type="dxa"/>
            <w:tcBorders>
              <w:top w:val="single" w:sz="4" w:space="0" w:color="auto"/>
              <w:left w:val="nil"/>
              <w:bottom w:val="nil"/>
              <w:right w:val="single" w:sz="4"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Artística Diferenciada</w:t>
            </w:r>
          </w:p>
        </w:tc>
        <w:tc>
          <w:tcPr>
            <w:tcW w:w="2337" w:type="dxa"/>
            <w:tcBorders>
              <w:top w:val="single" w:sz="4" w:space="0" w:color="auto"/>
              <w:left w:val="nil"/>
              <w:bottom w:val="nil"/>
              <w:right w:val="single" w:sz="4"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Curriculum General</w:t>
            </w:r>
          </w:p>
        </w:tc>
        <w:tc>
          <w:tcPr>
            <w:tcW w:w="2337" w:type="dxa"/>
            <w:tcBorders>
              <w:top w:val="single" w:sz="4" w:space="0" w:color="auto"/>
              <w:left w:val="nil"/>
              <w:bottom w:val="nil"/>
              <w:right w:val="single" w:sz="4"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 xml:space="preserve">Educación no formal </w:t>
            </w:r>
          </w:p>
        </w:tc>
        <w:tc>
          <w:tcPr>
            <w:tcW w:w="886" w:type="dxa"/>
            <w:tcBorders>
              <w:top w:val="single" w:sz="4" w:space="0" w:color="auto"/>
              <w:left w:val="nil"/>
              <w:bottom w:val="single" w:sz="4" w:space="0" w:color="auto"/>
              <w:right w:val="single" w:sz="4" w:space="0" w:color="auto"/>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Total por línea</w:t>
            </w:r>
          </w:p>
        </w:tc>
      </w:tr>
      <w:tr w:rsidR="0069342A" w:rsidRPr="00B65630" w:rsidTr="0069342A">
        <w:trPr>
          <w:trHeight w:val="739"/>
        </w:trPr>
        <w:tc>
          <w:tcPr>
            <w:tcW w:w="1524" w:type="dxa"/>
            <w:tcBorders>
              <w:top w:val="single" w:sz="8" w:space="0" w:color="auto"/>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Implementación y mejoramiento curricular</w:t>
            </w:r>
          </w:p>
        </w:tc>
        <w:tc>
          <w:tcPr>
            <w:tcW w:w="233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3</w:t>
            </w:r>
          </w:p>
        </w:tc>
        <w:tc>
          <w:tcPr>
            <w:tcW w:w="2337" w:type="dxa"/>
            <w:tcBorders>
              <w:top w:val="single" w:sz="8" w:space="0" w:color="auto"/>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5</w:t>
            </w:r>
          </w:p>
        </w:tc>
        <w:tc>
          <w:tcPr>
            <w:tcW w:w="2337" w:type="dxa"/>
            <w:tcBorders>
              <w:top w:val="single" w:sz="8" w:space="0" w:color="auto"/>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3</w:t>
            </w:r>
          </w:p>
        </w:tc>
        <w:tc>
          <w:tcPr>
            <w:tcW w:w="886" w:type="dxa"/>
            <w:tcBorders>
              <w:top w:val="nil"/>
              <w:left w:val="nil"/>
              <w:bottom w:val="single" w:sz="8" w:space="0" w:color="auto"/>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11</w:t>
            </w:r>
          </w:p>
        </w:tc>
      </w:tr>
      <w:tr w:rsidR="0069342A" w:rsidRPr="00B65630" w:rsidTr="0069342A">
        <w:trPr>
          <w:trHeight w:val="739"/>
        </w:trPr>
        <w:tc>
          <w:tcPr>
            <w:tcW w:w="1524" w:type="dxa"/>
            <w:tcBorders>
              <w:top w:val="nil"/>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Perfeccionamiento docente y directivo</w:t>
            </w:r>
          </w:p>
        </w:tc>
        <w:tc>
          <w:tcPr>
            <w:tcW w:w="2337" w:type="dxa"/>
            <w:tcBorders>
              <w:top w:val="nil"/>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3</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4</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0</w:t>
            </w:r>
          </w:p>
        </w:tc>
        <w:tc>
          <w:tcPr>
            <w:tcW w:w="886" w:type="dxa"/>
            <w:tcBorders>
              <w:top w:val="nil"/>
              <w:left w:val="nil"/>
              <w:bottom w:val="single" w:sz="8" w:space="0" w:color="auto"/>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7</w:t>
            </w:r>
          </w:p>
        </w:tc>
      </w:tr>
      <w:tr w:rsidR="0069342A" w:rsidRPr="00B65630" w:rsidTr="0069342A">
        <w:trPr>
          <w:trHeight w:val="739"/>
        </w:trPr>
        <w:tc>
          <w:tcPr>
            <w:tcW w:w="1524" w:type="dxa"/>
            <w:tcBorders>
              <w:top w:val="nil"/>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Equipamiento y materiales de enseñanza</w:t>
            </w:r>
          </w:p>
        </w:tc>
        <w:tc>
          <w:tcPr>
            <w:tcW w:w="2337" w:type="dxa"/>
            <w:tcBorders>
              <w:top w:val="nil"/>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11</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6</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6</w:t>
            </w:r>
          </w:p>
        </w:tc>
        <w:tc>
          <w:tcPr>
            <w:tcW w:w="886" w:type="dxa"/>
            <w:tcBorders>
              <w:top w:val="nil"/>
              <w:left w:val="nil"/>
              <w:bottom w:val="single" w:sz="8" w:space="0" w:color="auto"/>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23</w:t>
            </w:r>
          </w:p>
        </w:tc>
      </w:tr>
      <w:tr w:rsidR="0069342A" w:rsidRPr="00B65630" w:rsidTr="0069342A">
        <w:trPr>
          <w:trHeight w:val="498"/>
        </w:trPr>
        <w:tc>
          <w:tcPr>
            <w:tcW w:w="1524" w:type="dxa"/>
            <w:tcBorders>
              <w:top w:val="nil"/>
              <w:left w:val="single" w:sz="8" w:space="0" w:color="auto"/>
              <w:bottom w:val="single" w:sz="8" w:space="0" w:color="auto"/>
              <w:right w:val="nil"/>
            </w:tcBorders>
            <w:shd w:val="clear" w:color="auto" w:fill="76933C"/>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 xml:space="preserve">Difusión y Extensión </w:t>
            </w:r>
          </w:p>
        </w:tc>
        <w:tc>
          <w:tcPr>
            <w:tcW w:w="2337" w:type="dxa"/>
            <w:tcBorders>
              <w:top w:val="nil"/>
              <w:left w:val="single" w:sz="8" w:space="0" w:color="auto"/>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13</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6</w:t>
            </w:r>
          </w:p>
        </w:tc>
        <w:tc>
          <w:tcPr>
            <w:tcW w:w="2337" w:type="dxa"/>
            <w:tcBorders>
              <w:top w:val="nil"/>
              <w:left w:val="nil"/>
              <w:bottom w:val="single" w:sz="8" w:space="0" w:color="auto"/>
              <w:right w:val="single" w:sz="8"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3</w:t>
            </w:r>
          </w:p>
        </w:tc>
        <w:tc>
          <w:tcPr>
            <w:tcW w:w="886" w:type="dxa"/>
            <w:tcBorders>
              <w:top w:val="nil"/>
              <w:left w:val="nil"/>
              <w:bottom w:val="nil"/>
              <w:right w:val="single" w:sz="8" w:space="0" w:color="auto"/>
            </w:tcBorders>
            <w:shd w:val="clear" w:color="auto" w:fill="76933C"/>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22</w:t>
            </w:r>
          </w:p>
        </w:tc>
      </w:tr>
      <w:tr w:rsidR="0069342A" w:rsidRPr="00B65630" w:rsidTr="0069342A">
        <w:trPr>
          <w:trHeight w:val="498"/>
        </w:trPr>
        <w:tc>
          <w:tcPr>
            <w:tcW w:w="1524" w:type="dxa"/>
            <w:tcBorders>
              <w:top w:val="nil"/>
              <w:left w:val="single" w:sz="8" w:space="0" w:color="auto"/>
              <w:bottom w:val="single" w:sz="8" w:space="0" w:color="auto"/>
              <w:right w:val="nil"/>
            </w:tcBorders>
            <w:shd w:val="clear" w:color="auto" w:fill="E26B0A"/>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 xml:space="preserve">Total por Modalidad </w:t>
            </w:r>
          </w:p>
        </w:tc>
        <w:tc>
          <w:tcPr>
            <w:tcW w:w="2337" w:type="dxa"/>
            <w:tcBorders>
              <w:top w:val="nil"/>
              <w:left w:val="single" w:sz="8" w:space="0" w:color="auto"/>
              <w:bottom w:val="single" w:sz="8" w:space="0" w:color="auto"/>
              <w:right w:val="single" w:sz="8"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30</w:t>
            </w:r>
          </w:p>
        </w:tc>
        <w:tc>
          <w:tcPr>
            <w:tcW w:w="2337" w:type="dxa"/>
            <w:tcBorders>
              <w:top w:val="nil"/>
              <w:left w:val="nil"/>
              <w:bottom w:val="single" w:sz="8" w:space="0" w:color="auto"/>
              <w:right w:val="single" w:sz="8" w:space="0" w:color="auto"/>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21</w:t>
            </w:r>
          </w:p>
        </w:tc>
        <w:tc>
          <w:tcPr>
            <w:tcW w:w="2337" w:type="dxa"/>
            <w:tcBorders>
              <w:top w:val="nil"/>
              <w:left w:val="nil"/>
              <w:bottom w:val="single" w:sz="8" w:space="0" w:color="auto"/>
              <w:right w:val="nil"/>
            </w:tcBorders>
            <w:shd w:val="clear" w:color="auto" w:fill="E26B0A"/>
            <w:noWrap/>
            <w:vAlign w:val="center"/>
            <w:hideMark/>
          </w:tcPr>
          <w:p w:rsidR="0069342A" w:rsidRPr="00B65630" w:rsidRDefault="0069342A" w:rsidP="0069342A">
            <w:pPr>
              <w:spacing w:after="0" w:line="360" w:lineRule="auto"/>
              <w:jc w:val="center"/>
              <w:rPr>
                <w:rFonts w:ascii="Verdana" w:eastAsia="Times New Roman" w:hAnsi="Verdana" w:cstheme="minorHAnsi"/>
                <w:b/>
                <w:bCs/>
                <w:color w:val="000000"/>
                <w:sz w:val="18"/>
                <w:szCs w:val="18"/>
                <w:lang w:eastAsia="es-CL"/>
              </w:rPr>
            </w:pPr>
            <w:r w:rsidRPr="00B65630">
              <w:rPr>
                <w:rFonts w:ascii="Verdana" w:eastAsia="Times New Roman" w:hAnsi="Verdana" w:cstheme="minorHAnsi"/>
                <w:b/>
                <w:bCs/>
                <w:color w:val="000000"/>
                <w:sz w:val="18"/>
                <w:szCs w:val="18"/>
                <w:lang w:eastAsia="es-CL"/>
              </w:rPr>
              <w:t>12</w:t>
            </w:r>
          </w:p>
        </w:tc>
        <w:tc>
          <w:tcPr>
            <w:tcW w:w="88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9342A" w:rsidRPr="00B65630" w:rsidRDefault="0069342A" w:rsidP="0069342A">
            <w:pPr>
              <w:spacing w:after="0" w:line="360" w:lineRule="auto"/>
              <w:jc w:val="center"/>
              <w:rPr>
                <w:rFonts w:ascii="Verdana" w:eastAsia="Times New Roman" w:hAnsi="Verdana" w:cstheme="minorHAnsi"/>
                <w:color w:val="000000"/>
                <w:sz w:val="18"/>
                <w:szCs w:val="18"/>
                <w:lang w:eastAsia="es-CL"/>
              </w:rPr>
            </w:pPr>
            <w:r w:rsidRPr="00B65630">
              <w:rPr>
                <w:rFonts w:ascii="Verdana" w:eastAsia="Times New Roman" w:hAnsi="Verdana" w:cstheme="minorHAnsi"/>
                <w:color w:val="000000"/>
                <w:sz w:val="18"/>
                <w:szCs w:val="18"/>
                <w:lang w:eastAsia="es-CL"/>
              </w:rPr>
              <w:t>63</w:t>
            </w:r>
          </w:p>
        </w:tc>
      </w:tr>
    </w:tbl>
    <w:p w:rsidR="0069342A" w:rsidRPr="00B65630" w:rsidRDefault="0069342A" w:rsidP="0069342A">
      <w:pPr>
        <w:spacing w:line="360" w:lineRule="auto"/>
        <w:rPr>
          <w:rFonts w:ascii="Verdana" w:hAnsi="Verdana"/>
          <w:sz w:val="20"/>
          <w:szCs w:val="20"/>
        </w:rPr>
      </w:pPr>
      <w:r w:rsidRPr="00B65630">
        <w:rPr>
          <w:rFonts w:ascii="Verdana" w:hAnsi="Verdana"/>
          <w:sz w:val="20"/>
          <w:szCs w:val="20"/>
        </w:rPr>
        <w:t>Fuente: Elaboración propia, margen de error de la tabla.</w:t>
      </w:r>
    </w:p>
    <w:p w:rsidR="0069342A" w:rsidRPr="00B65630" w:rsidRDefault="0069342A" w:rsidP="0069342A">
      <w:pPr>
        <w:spacing w:line="360" w:lineRule="auto"/>
        <w:rPr>
          <w:rFonts w:ascii="Verdana" w:hAnsi="Verdana"/>
        </w:rPr>
      </w:pPr>
    </w:p>
    <w:p w:rsidR="0069342A" w:rsidRPr="00B65630" w:rsidRDefault="00A15A5A" w:rsidP="0069342A">
      <w:pPr>
        <w:spacing w:line="360" w:lineRule="auto"/>
        <w:rPr>
          <w:rFonts w:ascii="Verdana" w:hAnsi="Verdana"/>
        </w:rPr>
      </w:pPr>
      <w:r w:rsidRPr="00B65630">
        <w:rPr>
          <w:rFonts w:ascii="Verdana" w:hAnsi="Verdana"/>
        </w:rPr>
        <w:t xml:space="preserve">Si se observan las cifras, por proyectos adjudicados, se puede observar que hay una distribución homogénea y bastante coherente a las necesidades de los postulantes. Presentándose las líneas de material de enseñanza y difusión y extensión como la con mayor proyectos adjudicados. </w:t>
      </w:r>
    </w:p>
    <w:p w:rsidR="00830A31" w:rsidRDefault="00830A31" w:rsidP="0069342A">
      <w:pPr>
        <w:spacing w:line="360" w:lineRule="auto"/>
        <w:rPr>
          <w:rFonts w:ascii="Verdana" w:hAnsi="Verdana"/>
          <w:b/>
        </w:rPr>
      </w:pPr>
    </w:p>
    <w:p w:rsidR="0069342A" w:rsidRPr="00B65630" w:rsidRDefault="00A15A5A" w:rsidP="0069342A">
      <w:pPr>
        <w:spacing w:line="360" w:lineRule="auto"/>
        <w:rPr>
          <w:rFonts w:ascii="Verdana" w:hAnsi="Verdana"/>
          <w:b/>
        </w:rPr>
      </w:pPr>
      <w:r w:rsidRPr="00B65630">
        <w:rPr>
          <w:rFonts w:ascii="Verdana" w:hAnsi="Verdana"/>
          <w:b/>
        </w:rPr>
        <w:t>6.- Análisis final de la Convocatoria 2012</w:t>
      </w:r>
    </w:p>
    <w:p w:rsidR="00A15A5A" w:rsidRPr="00B65630" w:rsidRDefault="00A15A5A" w:rsidP="00A0599C">
      <w:pPr>
        <w:spacing w:line="360" w:lineRule="auto"/>
        <w:jc w:val="both"/>
        <w:rPr>
          <w:rFonts w:ascii="Verdana" w:hAnsi="Verdana"/>
          <w:b/>
        </w:rPr>
      </w:pPr>
      <w:r w:rsidRPr="00B65630">
        <w:rPr>
          <w:rFonts w:ascii="Verdana" w:hAnsi="Verdana"/>
          <w:b/>
        </w:rPr>
        <w:t xml:space="preserve">De acuerdo a lo observado en este documento, se pueden extraer algunas conclusiones: </w:t>
      </w:r>
    </w:p>
    <w:p w:rsidR="00A15A5A" w:rsidRPr="00B65630" w:rsidRDefault="008A19D1" w:rsidP="00A0599C">
      <w:pPr>
        <w:pStyle w:val="Prrafodelista"/>
        <w:numPr>
          <w:ilvl w:val="0"/>
          <w:numId w:val="6"/>
        </w:numPr>
        <w:spacing w:line="360" w:lineRule="auto"/>
        <w:jc w:val="both"/>
        <w:rPr>
          <w:rFonts w:ascii="Verdana" w:hAnsi="Verdana"/>
        </w:rPr>
      </w:pPr>
      <w:r w:rsidRPr="00B65630">
        <w:rPr>
          <w:rFonts w:ascii="Verdana" w:hAnsi="Verdana"/>
        </w:rPr>
        <w:t xml:space="preserve">La apertura a postulantes logró bastante éxito aumentando en 70% las postulaciones. </w:t>
      </w:r>
    </w:p>
    <w:p w:rsidR="008A19D1" w:rsidRPr="00B65630" w:rsidRDefault="008A19D1" w:rsidP="00A0599C">
      <w:pPr>
        <w:pStyle w:val="Prrafodelista"/>
        <w:numPr>
          <w:ilvl w:val="0"/>
          <w:numId w:val="6"/>
        </w:numPr>
        <w:spacing w:line="360" w:lineRule="auto"/>
        <w:jc w:val="both"/>
        <w:rPr>
          <w:rFonts w:ascii="Verdana" w:hAnsi="Verdana"/>
        </w:rPr>
      </w:pPr>
      <w:r w:rsidRPr="00B65630">
        <w:rPr>
          <w:rFonts w:ascii="Verdana" w:hAnsi="Verdana"/>
        </w:rPr>
        <w:lastRenderedPageBreak/>
        <w:t xml:space="preserve">La línea de proyectos artísticos en educación no formal, tuvo 31 proyectos postulados, presentando gran interés de parte de las instituciones culturales. </w:t>
      </w:r>
    </w:p>
    <w:p w:rsidR="008A19D1" w:rsidRPr="00B65630" w:rsidRDefault="007711BE" w:rsidP="00A0599C">
      <w:pPr>
        <w:pStyle w:val="Prrafodelista"/>
        <w:numPr>
          <w:ilvl w:val="0"/>
          <w:numId w:val="6"/>
        </w:numPr>
        <w:spacing w:line="360" w:lineRule="auto"/>
        <w:jc w:val="both"/>
        <w:rPr>
          <w:rFonts w:ascii="Verdana" w:hAnsi="Verdana"/>
        </w:rPr>
      </w:pPr>
      <w:r w:rsidRPr="00B65630">
        <w:rPr>
          <w:rFonts w:ascii="Verdana" w:hAnsi="Verdana"/>
        </w:rPr>
        <w:t xml:space="preserve">En el proceso de evaluación contamos con la mirada transversal de un equipo de profesionales relacionados con la gestión educacional y cultural. Que dio consistencia a la evaluación de proyectos. </w:t>
      </w:r>
    </w:p>
    <w:p w:rsidR="007711BE" w:rsidRPr="00B65630" w:rsidRDefault="007711BE" w:rsidP="00A0599C">
      <w:pPr>
        <w:pStyle w:val="Prrafodelista"/>
        <w:numPr>
          <w:ilvl w:val="0"/>
          <w:numId w:val="6"/>
        </w:numPr>
        <w:spacing w:line="360" w:lineRule="auto"/>
        <w:jc w:val="both"/>
        <w:rPr>
          <w:rFonts w:ascii="Verdana" w:hAnsi="Verdana"/>
        </w:rPr>
      </w:pPr>
      <w:r w:rsidRPr="00B65630">
        <w:rPr>
          <w:rFonts w:ascii="Verdana" w:hAnsi="Verdana"/>
        </w:rPr>
        <w:t xml:space="preserve">Respecto de la selección o adjudicación de proyectos, </w:t>
      </w:r>
      <w:r w:rsidR="00A0599C" w:rsidRPr="00B65630">
        <w:rPr>
          <w:rFonts w:ascii="Verdana" w:hAnsi="Verdana"/>
        </w:rPr>
        <w:t xml:space="preserve">las regiones con mayor cantidad de proyectos adjudicados, fueron: Valparaíso, Biobío y Metropolitana. </w:t>
      </w:r>
      <w:r w:rsidR="00204E03">
        <w:rPr>
          <w:rFonts w:ascii="Verdana" w:hAnsi="Verdana"/>
        </w:rPr>
        <w:t>Lo que modifica en parte el mapa histórico que incluía a la región de Coquimbo y no a la Metropolitana</w:t>
      </w:r>
    </w:p>
    <w:p w:rsidR="00A0599C" w:rsidRPr="00B65630" w:rsidRDefault="00A0599C" w:rsidP="00A0599C">
      <w:pPr>
        <w:pStyle w:val="Prrafodelista"/>
        <w:numPr>
          <w:ilvl w:val="0"/>
          <w:numId w:val="6"/>
        </w:numPr>
        <w:spacing w:line="360" w:lineRule="auto"/>
        <w:jc w:val="both"/>
        <w:rPr>
          <w:rFonts w:ascii="Verdana" w:hAnsi="Verdana"/>
        </w:rPr>
      </w:pPr>
      <w:r w:rsidRPr="00B65630">
        <w:rPr>
          <w:rFonts w:ascii="Verdana" w:hAnsi="Verdana"/>
        </w:rPr>
        <w:t xml:space="preserve">Las líneas que suscitan mayor interés de acuerdo a las postulaciones son: material de enseñanza, implementación y mejoramiento curricular y difusión y extensión. Presentando una gran diferencia con la línea de perfeccionamiento docente. </w:t>
      </w:r>
    </w:p>
    <w:p w:rsidR="00A0599C" w:rsidRPr="00B65630" w:rsidRDefault="00A0599C" w:rsidP="00A0599C">
      <w:pPr>
        <w:pStyle w:val="Prrafodelista"/>
        <w:numPr>
          <w:ilvl w:val="0"/>
          <w:numId w:val="6"/>
        </w:numPr>
        <w:spacing w:line="360" w:lineRule="auto"/>
        <w:jc w:val="both"/>
        <w:rPr>
          <w:rFonts w:ascii="Verdana" w:hAnsi="Verdana"/>
        </w:rPr>
      </w:pPr>
      <w:r w:rsidRPr="00B65630">
        <w:rPr>
          <w:rFonts w:ascii="Verdana" w:hAnsi="Verdana"/>
        </w:rPr>
        <w:t>Finalmente es importante agregar que ésta convocatoria nos desafía a seguir perfeccionando el concurso, desde afinar las bases y mejorarlas, hasta indagar en cada una de las líneas y cuáles son los contenidos que hoy requieren mayor apoyo.</w:t>
      </w:r>
      <w:r w:rsidR="00083B38">
        <w:rPr>
          <w:rFonts w:ascii="Verdana" w:hAnsi="Verdana"/>
        </w:rPr>
        <w:t xml:space="preserve"> En este sentido, los aspectos a mejorar son los siguientes: </w:t>
      </w:r>
      <w:r w:rsidR="0078459D">
        <w:rPr>
          <w:rFonts w:ascii="Verdana" w:hAnsi="Verdana"/>
        </w:rPr>
        <w:t xml:space="preserve">difusión del FAE desde los mismos proyectos, seguimiento a los proyectos y participación de contraparte de regiones en la ejecución de </w:t>
      </w:r>
      <w:proofErr w:type="gramStart"/>
      <w:r w:rsidR="0078459D">
        <w:rPr>
          <w:rFonts w:ascii="Verdana" w:hAnsi="Verdana"/>
        </w:rPr>
        <w:t>éstos</w:t>
      </w:r>
      <w:proofErr w:type="gramEnd"/>
      <w:r w:rsidR="0078459D">
        <w:rPr>
          <w:rFonts w:ascii="Verdana" w:hAnsi="Verdana"/>
        </w:rPr>
        <w:t xml:space="preserve">, honorarios a docentes y directivos de establecimientos, modo de postulación y rol de directivo de la escuela o liceo. </w:t>
      </w:r>
    </w:p>
    <w:p w:rsidR="00A0599C" w:rsidRDefault="00A0599C" w:rsidP="00A0599C">
      <w:pPr>
        <w:pStyle w:val="Prrafodelista"/>
        <w:numPr>
          <w:ilvl w:val="0"/>
          <w:numId w:val="6"/>
        </w:numPr>
        <w:spacing w:line="360" w:lineRule="auto"/>
        <w:jc w:val="both"/>
        <w:rPr>
          <w:rFonts w:ascii="Verdana" w:hAnsi="Verdana"/>
        </w:rPr>
      </w:pPr>
      <w:r w:rsidRPr="00B65630">
        <w:rPr>
          <w:rFonts w:ascii="Verdana" w:hAnsi="Verdana"/>
        </w:rPr>
        <w:t xml:space="preserve">Las necesidades de las instituciones que postulan nos entregan una clave respecto de ir orientando mejor el accionar de la sección de educación artística y cultura al momento de poner a disposición ofertas de fortalecimiento de la educación artística en el sistema educativo formal y no formal. </w:t>
      </w:r>
    </w:p>
    <w:p w:rsidR="00830A31" w:rsidRDefault="00830A31" w:rsidP="00A0599C">
      <w:pPr>
        <w:pStyle w:val="Prrafodelista"/>
        <w:numPr>
          <w:ilvl w:val="0"/>
          <w:numId w:val="6"/>
        </w:numPr>
        <w:spacing w:line="360" w:lineRule="auto"/>
        <w:jc w:val="both"/>
        <w:rPr>
          <w:rFonts w:ascii="Verdana" w:hAnsi="Verdana"/>
        </w:rPr>
      </w:pPr>
      <w:r>
        <w:rPr>
          <w:rFonts w:ascii="Verdana" w:hAnsi="Verdana"/>
        </w:rPr>
        <w:t>La día 20 de abril de 2012, se han regionalizado los recursos de 62 proyectos, aún queda pendiente 1 proyecto por regionalizar, debido a la necesidad de cambiar la resolución</w:t>
      </w:r>
      <w:r w:rsidR="00083B38">
        <w:rPr>
          <w:rFonts w:ascii="Verdana" w:hAnsi="Verdana"/>
        </w:rPr>
        <w:t xml:space="preserve"> que adjudica los proyectos. Este es el caso de Balmaceda Arte Joven, que postuló un proyecto a la región </w:t>
      </w:r>
      <w:r w:rsidR="00083B38">
        <w:rPr>
          <w:rFonts w:ascii="Verdana" w:hAnsi="Verdana"/>
        </w:rPr>
        <w:lastRenderedPageBreak/>
        <w:t>metropolitana, cuando su ejecución será en la Región del Biobío. Por tanto, los recursos adjudicados a la región Metropolitana, deberán ser reasignados a la región donde se ejecutará el proyecto.</w:t>
      </w:r>
    </w:p>
    <w:p w:rsidR="00830A31" w:rsidRPr="00B65630" w:rsidRDefault="00830A31" w:rsidP="00830A31">
      <w:pPr>
        <w:pStyle w:val="Prrafodelista"/>
        <w:spacing w:line="360" w:lineRule="auto"/>
        <w:jc w:val="both"/>
        <w:rPr>
          <w:rFonts w:ascii="Verdana" w:hAnsi="Verdana"/>
        </w:rPr>
      </w:pPr>
    </w:p>
    <w:p w:rsidR="00A0599C" w:rsidRPr="00B65630" w:rsidRDefault="00A0599C" w:rsidP="00A0599C">
      <w:pPr>
        <w:pStyle w:val="Prrafodelista"/>
        <w:spacing w:line="360" w:lineRule="auto"/>
        <w:jc w:val="both"/>
        <w:rPr>
          <w:rFonts w:ascii="Verdana" w:hAnsi="Verdana"/>
        </w:rPr>
      </w:pPr>
    </w:p>
    <w:p w:rsidR="00A0599C" w:rsidRPr="00B65630" w:rsidRDefault="00A0599C" w:rsidP="00A0599C">
      <w:pPr>
        <w:spacing w:line="360" w:lineRule="auto"/>
        <w:ind w:left="360"/>
        <w:jc w:val="both"/>
        <w:rPr>
          <w:rFonts w:ascii="Verdana" w:hAnsi="Verdana"/>
        </w:rPr>
      </w:pPr>
    </w:p>
    <w:sectPr w:rsidR="00A0599C" w:rsidRPr="00B6563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61" w:rsidRDefault="00095861" w:rsidP="00396A33">
      <w:pPr>
        <w:spacing w:after="0" w:line="240" w:lineRule="auto"/>
      </w:pPr>
      <w:r>
        <w:separator/>
      </w:r>
    </w:p>
  </w:endnote>
  <w:endnote w:type="continuationSeparator" w:id="0">
    <w:p w:rsidR="00095861" w:rsidRDefault="00095861" w:rsidP="003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25756"/>
      <w:docPartObj>
        <w:docPartGallery w:val="Page Numbers (Bottom of Page)"/>
        <w:docPartUnique/>
      </w:docPartObj>
    </w:sdtPr>
    <w:sdtEndPr/>
    <w:sdtContent>
      <w:p w:rsidR="00F00C47" w:rsidRDefault="00F00C47">
        <w:pPr>
          <w:pStyle w:val="Piedepgina"/>
          <w:jc w:val="center"/>
        </w:pPr>
        <w:r>
          <w:fldChar w:fldCharType="begin"/>
        </w:r>
        <w:r>
          <w:instrText>PAGE   \* MERGEFORMAT</w:instrText>
        </w:r>
        <w:r>
          <w:fldChar w:fldCharType="separate"/>
        </w:r>
        <w:r w:rsidR="00284974" w:rsidRPr="00284974">
          <w:rPr>
            <w:noProof/>
            <w:lang w:val="es-ES"/>
          </w:rPr>
          <w:t>1</w:t>
        </w:r>
        <w:r>
          <w:fldChar w:fldCharType="end"/>
        </w:r>
      </w:p>
    </w:sdtContent>
  </w:sdt>
  <w:p w:rsidR="00F00C47" w:rsidRDefault="00F00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61" w:rsidRDefault="00095861" w:rsidP="00396A33">
      <w:pPr>
        <w:spacing w:after="0" w:line="240" w:lineRule="auto"/>
      </w:pPr>
      <w:r>
        <w:separator/>
      </w:r>
    </w:p>
  </w:footnote>
  <w:footnote w:type="continuationSeparator" w:id="0">
    <w:p w:rsidR="00095861" w:rsidRDefault="00095861" w:rsidP="00396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33" w:rsidRDefault="00396A33">
    <w:pPr>
      <w:pStyle w:val="Encabezado"/>
    </w:pPr>
  </w:p>
  <w:p w:rsidR="00396A33" w:rsidRDefault="00396A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BCC"/>
    <w:multiLevelType w:val="hybridMultilevel"/>
    <w:tmpl w:val="F78EB7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1FD5BF7"/>
    <w:multiLevelType w:val="hybridMultilevel"/>
    <w:tmpl w:val="987088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E792BEB"/>
    <w:multiLevelType w:val="hybridMultilevel"/>
    <w:tmpl w:val="473AE6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5655E9A"/>
    <w:multiLevelType w:val="hybridMultilevel"/>
    <w:tmpl w:val="10D86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nsid w:val="5FED58B7"/>
    <w:multiLevelType w:val="hybridMultilevel"/>
    <w:tmpl w:val="4226F8E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A6"/>
    <w:rsid w:val="00083B38"/>
    <w:rsid w:val="00084BD6"/>
    <w:rsid w:val="00095861"/>
    <w:rsid w:val="000F23C8"/>
    <w:rsid w:val="001353DF"/>
    <w:rsid w:val="00174324"/>
    <w:rsid w:val="00194BA6"/>
    <w:rsid w:val="00204E03"/>
    <w:rsid w:val="00284974"/>
    <w:rsid w:val="00396A33"/>
    <w:rsid w:val="00577EAE"/>
    <w:rsid w:val="00653F16"/>
    <w:rsid w:val="00677910"/>
    <w:rsid w:val="0069342A"/>
    <w:rsid w:val="007711BE"/>
    <w:rsid w:val="0078459D"/>
    <w:rsid w:val="007F5DD0"/>
    <w:rsid w:val="00817E06"/>
    <w:rsid w:val="00830A31"/>
    <w:rsid w:val="008463F2"/>
    <w:rsid w:val="00862639"/>
    <w:rsid w:val="008A19D1"/>
    <w:rsid w:val="008F554E"/>
    <w:rsid w:val="00A0599C"/>
    <w:rsid w:val="00A15A5A"/>
    <w:rsid w:val="00B20453"/>
    <w:rsid w:val="00B57B86"/>
    <w:rsid w:val="00B65630"/>
    <w:rsid w:val="00C2502F"/>
    <w:rsid w:val="00C71B68"/>
    <w:rsid w:val="00ED3809"/>
    <w:rsid w:val="00ED4161"/>
    <w:rsid w:val="00F00C47"/>
    <w:rsid w:val="00F369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A33"/>
    <w:rPr>
      <w:rFonts w:ascii="Tahoma" w:hAnsi="Tahoma" w:cs="Tahoma"/>
      <w:sz w:val="16"/>
      <w:szCs w:val="16"/>
    </w:rPr>
  </w:style>
  <w:style w:type="paragraph" w:styleId="Encabezado">
    <w:name w:val="header"/>
    <w:basedOn w:val="Normal"/>
    <w:link w:val="EncabezadoCar"/>
    <w:uiPriority w:val="99"/>
    <w:unhideWhenUsed/>
    <w:rsid w:val="00396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A33"/>
  </w:style>
  <w:style w:type="paragraph" w:styleId="Piedepgina">
    <w:name w:val="footer"/>
    <w:basedOn w:val="Normal"/>
    <w:link w:val="PiedepginaCar"/>
    <w:uiPriority w:val="99"/>
    <w:unhideWhenUsed/>
    <w:rsid w:val="00396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A33"/>
  </w:style>
  <w:style w:type="paragraph" w:styleId="Prrafodelista">
    <w:name w:val="List Paragraph"/>
    <w:basedOn w:val="Normal"/>
    <w:uiPriority w:val="34"/>
    <w:qFormat/>
    <w:rsid w:val="00ED4161"/>
    <w:pPr>
      <w:ind w:left="720"/>
      <w:contextualSpacing/>
    </w:pPr>
  </w:style>
  <w:style w:type="table" w:styleId="Cuadrculavistosa-nfasis1">
    <w:name w:val="Colorful Grid Accent 1"/>
    <w:basedOn w:val="Tablanormal"/>
    <w:uiPriority w:val="73"/>
    <w:rsid w:val="00577EAE"/>
    <w:pPr>
      <w:spacing w:after="0" w:line="240" w:lineRule="auto"/>
    </w:pPr>
    <w:rPr>
      <w:color w:val="000000" w:themeColor="text1"/>
      <w:lang w:val="es-E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efdecomentario">
    <w:name w:val="annotation reference"/>
    <w:basedOn w:val="Fuentedeprrafopredeter"/>
    <w:uiPriority w:val="99"/>
    <w:semiHidden/>
    <w:unhideWhenUsed/>
    <w:rsid w:val="00204E03"/>
    <w:rPr>
      <w:sz w:val="16"/>
      <w:szCs w:val="16"/>
    </w:rPr>
  </w:style>
  <w:style w:type="paragraph" w:styleId="Textocomentario">
    <w:name w:val="annotation text"/>
    <w:basedOn w:val="Normal"/>
    <w:link w:val="TextocomentarioCar"/>
    <w:uiPriority w:val="99"/>
    <w:semiHidden/>
    <w:unhideWhenUsed/>
    <w:rsid w:val="00204E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4E03"/>
    <w:rPr>
      <w:sz w:val="20"/>
      <w:szCs w:val="20"/>
    </w:rPr>
  </w:style>
  <w:style w:type="paragraph" w:styleId="Asuntodelcomentario">
    <w:name w:val="annotation subject"/>
    <w:basedOn w:val="Textocomentario"/>
    <w:next w:val="Textocomentario"/>
    <w:link w:val="AsuntodelcomentarioCar"/>
    <w:uiPriority w:val="99"/>
    <w:semiHidden/>
    <w:unhideWhenUsed/>
    <w:rsid w:val="00204E03"/>
    <w:rPr>
      <w:b/>
      <w:bCs/>
    </w:rPr>
  </w:style>
  <w:style w:type="character" w:customStyle="1" w:styleId="AsuntodelcomentarioCar">
    <w:name w:val="Asunto del comentario Car"/>
    <w:basedOn w:val="TextocomentarioCar"/>
    <w:link w:val="Asuntodelcomentario"/>
    <w:uiPriority w:val="99"/>
    <w:semiHidden/>
    <w:rsid w:val="00204E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A33"/>
    <w:rPr>
      <w:rFonts w:ascii="Tahoma" w:hAnsi="Tahoma" w:cs="Tahoma"/>
      <w:sz w:val="16"/>
      <w:szCs w:val="16"/>
    </w:rPr>
  </w:style>
  <w:style w:type="paragraph" w:styleId="Encabezado">
    <w:name w:val="header"/>
    <w:basedOn w:val="Normal"/>
    <w:link w:val="EncabezadoCar"/>
    <w:uiPriority w:val="99"/>
    <w:unhideWhenUsed/>
    <w:rsid w:val="00396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A33"/>
  </w:style>
  <w:style w:type="paragraph" w:styleId="Piedepgina">
    <w:name w:val="footer"/>
    <w:basedOn w:val="Normal"/>
    <w:link w:val="PiedepginaCar"/>
    <w:uiPriority w:val="99"/>
    <w:unhideWhenUsed/>
    <w:rsid w:val="00396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A33"/>
  </w:style>
  <w:style w:type="paragraph" w:styleId="Prrafodelista">
    <w:name w:val="List Paragraph"/>
    <w:basedOn w:val="Normal"/>
    <w:uiPriority w:val="34"/>
    <w:qFormat/>
    <w:rsid w:val="00ED4161"/>
    <w:pPr>
      <w:ind w:left="720"/>
      <w:contextualSpacing/>
    </w:pPr>
  </w:style>
  <w:style w:type="table" w:styleId="Cuadrculavistosa-nfasis1">
    <w:name w:val="Colorful Grid Accent 1"/>
    <w:basedOn w:val="Tablanormal"/>
    <w:uiPriority w:val="73"/>
    <w:rsid w:val="00577EAE"/>
    <w:pPr>
      <w:spacing w:after="0" w:line="240" w:lineRule="auto"/>
    </w:pPr>
    <w:rPr>
      <w:color w:val="000000" w:themeColor="text1"/>
      <w:lang w:val="es-E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efdecomentario">
    <w:name w:val="annotation reference"/>
    <w:basedOn w:val="Fuentedeprrafopredeter"/>
    <w:uiPriority w:val="99"/>
    <w:semiHidden/>
    <w:unhideWhenUsed/>
    <w:rsid w:val="00204E03"/>
    <w:rPr>
      <w:sz w:val="16"/>
      <w:szCs w:val="16"/>
    </w:rPr>
  </w:style>
  <w:style w:type="paragraph" w:styleId="Textocomentario">
    <w:name w:val="annotation text"/>
    <w:basedOn w:val="Normal"/>
    <w:link w:val="TextocomentarioCar"/>
    <w:uiPriority w:val="99"/>
    <w:semiHidden/>
    <w:unhideWhenUsed/>
    <w:rsid w:val="00204E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4E03"/>
    <w:rPr>
      <w:sz w:val="20"/>
      <w:szCs w:val="20"/>
    </w:rPr>
  </w:style>
  <w:style w:type="paragraph" w:styleId="Asuntodelcomentario">
    <w:name w:val="annotation subject"/>
    <w:basedOn w:val="Textocomentario"/>
    <w:next w:val="Textocomentario"/>
    <w:link w:val="AsuntodelcomentarioCar"/>
    <w:uiPriority w:val="99"/>
    <w:semiHidden/>
    <w:unhideWhenUsed/>
    <w:rsid w:val="00204E03"/>
    <w:rPr>
      <w:b/>
      <w:bCs/>
    </w:rPr>
  </w:style>
  <w:style w:type="character" w:customStyle="1" w:styleId="AsuntodelcomentarioCar">
    <w:name w:val="Asunto del comentario Car"/>
    <w:basedOn w:val="TextocomentarioCar"/>
    <w:link w:val="Asuntodelcomentario"/>
    <w:uiPriority w:val="99"/>
    <w:semiHidden/>
    <w:rsid w:val="00204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006">
      <w:bodyDiv w:val="1"/>
      <w:marLeft w:val="0"/>
      <w:marRight w:val="0"/>
      <w:marTop w:val="0"/>
      <w:marBottom w:val="0"/>
      <w:divBdr>
        <w:top w:val="none" w:sz="0" w:space="0" w:color="auto"/>
        <w:left w:val="none" w:sz="0" w:space="0" w:color="auto"/>
        <w:bottom w:val="none" w:sz="0" w:space="0" w:color="auto"/>
        <w:right w:val="none" w:sz="0" w:space="0" w:color="auto"/>
      </w:divBdr>
    </w:div>
    <w:div w:id="231625725">
      <w:bodyDiv w:val="1"/>
      <w:marLeft w:val="0"/>
      <w:marRight w:val="0"/>
      <w:marTop w:val="0"/>
      <w:marBottom w:val="0"/>
      <w:divBdr>
        <w:top w:val="none" w:sz="0" w:space="0" w:color="auto"/>
        <w:left w:val="none" w:sz="0" w:space="0" w:color="auto"/>
        <w:bottom w:val="none" w:sz="0" w:space="0" w:color="auto"/>
        <w:right w:val="none" w:sz="0" w:space="0" w:color="auto"/>
      </w:divBdr>
    </w:div>
    <w:div w:id="435492060">
      <w:bodyDiv w:val="1"/>
      <w:marLeft w:val="0"/>
      <w:marRight w:val="0"/>
      <w:marTop w:val="0"/>
      <w:marBottom w:val="0"/>
      <w:divBdr>
        <w:top w:val="none" w:sz="0" w:space="0" w:color="auto"/>
        <w:left w:val="none" w:sz="0" w:space="0" w:color="auto"/>
        <w:bottom w:val="none" w:sz="0" w:space="0" w:color="auto"/>
        <w:right w:val="none" w:sz="0" w:space="0" w:color="auto"/>
      </w:divBdr>
    </w:div>
    <w:div w:id="515727153">
      <w:bodyDiv w:val="1"/>
      <w:marLeft w:val="0"/>
      <w:marRight w:val="0"/>
      <w:marTop w:val="0"/>
      <w:marBottom w:val="0"/>
      <w:divBdr>
        <w:top w:val="none" w:sz="0" w:space="0" w:color="auto"/>
        <w:left w:val="none" w:sz="0" w:space="0" w:color="auto"/>
        <w:bottom w:val="none" w:sz="0" w:space="0" w:color="auto"/>
        <w:right w:val="none" w:sz="0" w:space="0" w:color="auto"/>
      </w:divBdr>
    </w:div>
    <w:div w:id="581987195">
      <w:bodyDiv w:val="1"/>
      <w:marLeft w:val="0"/>
      <w:marRight w:val="0"/>
      <w:marTop w:val="0"/>
      <w:marBottom w:val="0"/>
      <w:divBdr>
        <w:top w:val="none" w:sz="0" w:space="0" w:color="auto"/>
        <w:left w:val="none" w:sz="0" w:space="0" w:color="auto"/>
        <w:bottom w:val="none" w:sz="0" w:space="0" w:color="auto"/>
        <w:right w:val="none" w:sz="0" w:space="0" w:color="auto"/>
      </w:divBdr>
    </w:div>
    <w:div w:id="1341588289">
      <w:bodyDiv w:val="1"/>
      <w:marLeft w:val="0"/>
      <w:marRight w:val="0"/>
      <w:marTop w:val="0"/>
      <w:marBottom w:val="0"/>
      <w:divBdr>
        <w:top w:val="none" w:sz="0" w:space="0" w:color="auto"/>
        <w:left w:val="none" w:sz="0" w:space="0" w:color="auto"/>
        <w:bottom w:val="none" w:sz="0" w:space="0" w:color="auto"/>
        <w:right w:val="none" w:sz="0" w:space="0" w:color="auto"/>
      </w:divBdr>
    </w:div>
    <w:div w:id="1360160977">
      <w:bodyDiv w:val="1"/>
      <w:marLeft w:val="0"/>
      <w:marRight w:val="0"/>
      <w:marTop w:val="0"/>
      <w:marBottom w:val="0"/>
      <w:divBdr>
        <w:top w:val="none" w:sz="0" w:space="0" w:color="auto"/>
        <w:left w:val="none" w:sz="0" w:space="0" w:color="auto"/>
        <w:bottom w:val="none" w:sz="0" w:space="0" w:color="auto"/>
        <w:right w:val="none" w:sz="0" w:space="0" w:color="auto"/>
      </w:divBdr>
    </w:div>
    <w:div w:id="1374117635">
      <w:bodyDiv w:val="1"/>
      <w:marLeft w:val="0"/>
      <w:marRight w:val="0"/>
      <w:marTop w:val="0"/>
      <w:marBottom w:val="0"/>
      <w:divBdr>
        <w:top w:val="none" w:sz="0" w:space="0" w:color="auto"/>
        <w:left w:val="none" w:sz="0" w:space="0" w:color="auto"/>
        <w:bottom w:val="none" w:sz="0" w:space="0" w:color="auto"/>
        <w:right w:val="none" w:sz="0" w:space="0" w:color="auto"/>
      </w:divBdr>
    </w:div>
    <w:div w:id="1461341120">
      <w:bodyDiv w:val="1"/>
      <w:marLeft w:val="0"/>
      <w:marRight w:val="0"/>
      <w:marTop w:val="0"/>
      <w:marBottom w:val="0"/>
      <w:divBdr>
        <w:top w:val="none" w:sz="0" w:space="0" w:color="auto"/>
        <w:left w:val="none" w:sz="0" w:space="0" w:color="auto"/>
        <w:bottom w:val="none" w:sz="0" w:space="0" w:color="auto"/>
        <w:right w:val="none" w:sz="0" w:space="0" w:color="auto"/>
      </w:divBdr>
    </w:div>
    <w:div w:id="1958759576">
      <w:bodyDiv w:val="1"/>
      <w:marLeft w:val="0"/>
      <w:marRight w:val="0"/>
      <w:marTop w:val="0"/>
      <w:marBottom w:val="0"/>
      <w:divBdr>
        <w:top w:val="none" w:sz="0" w:space="0" w:color="auto"/>
        <w:left w:val="none" w:sz="0" w:space="0" w:color="auto"/>
        <w:bottom w:val="none" w:sz="0" w:space="0" w:color="auto"/>
        <w:right w:val="none" w:sz="0" w:space="0" w:color="auto"/>
      </w:divBdr>
    </w:div>
    <w:div w:id="19759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cid:image001.png@01CCCB95.EC59DE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237;a%20Jes&#250;s\Downloads\Copia%20de%20N%20PROYECTOS%20POSTULANTES%20ETC%20%202011-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237;a%20Jes&#250;s\Downloads\Copia%20de%20N%20PROYECTOS%20POSTULANTES%20ETC%20%202011-201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Hoja2!$B$3</c:f>
              <c:strCache>
                <c:ptCount val="1"/>
                <c:pt idx="0">
                  <c:v>ADMISIBLES 2011</c:v>
                </c:pt>
              </c:strCache>
            </c:strRef>
          </c:tx>
          <c:cat>
            <c:strRef>
              <c:f>Hoja2!$A$4:$A$18</c:f>
              <c:strCache>
                <c:ptCount val="15"/>
                <c:pt idx="0">
                  <c:v>Arica y Parinacota</c:v>
                </c:pt>
                <c:pt idx="1">
                  <c:v>Tarapacá</c:v>
                </c:pt>
                <c:pt idx="2">
                  <c:v>Antofagasta</c:v>
                </c:pt>
                <c:pt idx="3">
                  <c:v>Atacama</c:v>
                </c:pt>
                <c:pt idx="4">
                  <c:v>Coquimbo</c:v>
                </c:pt>
                <c:pt idx="5">
                  <c:v>Valparaíso</c:v>
                </c:pt>
                <c:pt idx="6">
                  <c:v>Metropolitana</c:v>
                </c:pt>
                <c:pt idx="7">
                  <c:v>O´Higgins</c:v>
                </c:pt>
                <c:pt idx="8">
                  <c:v>Maule</c:v>
                </c:pt>
                <c:pt idx="9">
                  <c:v>Biobio</c:v>
                </c:pt>
                <c:pt idx="10">
                  <c:v>Araucanía</c:v>
                </c:pt>
                <c:pt idx="11">
                  <c:v>Los Ríos</c:v>
                </c:pt>
                <c:pt idx="12">
                  <c:v>Los Lagos</c:v>
                </c:pt>
                <c:pt idx="13">
                  <c:v>Aysén </c:v>
                </c:pt>
                <c:pt idx="14">
                  <c:v>Magallanes</c:v>
                </c:pt>
              </c:strCache>
            </c:strRef>
          </c:cat>
          <c:val>
            <c:numRef>
              <c:f>Hoja2!$B$4:$B$18</c:f>
              <c:numCache>
                <c:formatCode>General</c:formatCode>
                <c:ptCount val="15"/>
                <c:pt idx="0">
                  <c:v>1</c:v>
                </c:pt>
                <c:pt idx="1">
                  <c:v>5</c:v>
                </c:pt>
                <c:pt idx="2">
                  <c:v>8</c:v>
                </c:pt>
                <c:pt idx="3">
                  <c:v>6</c:v>
                </c:pt>
                <c:pt idx="4">
                  <c:v>14</c:v>
                </c:pt>
                <c:pt idx="5">
                  <c:v>10</c:v>
                </c:pt>
                <c:pt idx="6">
                  <c:v>10</c:v>
                </c:pt>
                <c:pt idx="7">
                  <c:v>2</c:v>
                </c:pt>
                <c:pt idx="8">
                  <c:v>1</c:v>
                </c:pt>
                <c:pt idx="9">
                  <c:v>22</c:v>
                </c:pt>
                <c:pt idx="10">
                  <c:v>7</c:v>
                </c:pt>
                <c:pt idx="11">
                  <c:v>6</c:v>
                </c:pt>
                <c:pt idx="12">
                  <c:v>5</c:v>
                </c:pt>
                <c:pt idx="13">
                  <c:v>2</c:v>
                </c:pt>
                <c:pt idx="14">
                  <c:v>5</c:v>
                </c:pt>
              </c:numCache>
            </c:numRef>
          </c:val>
          <c:smooth val="0"/>
        </c:ser>
        <c:ser>
          <c:idx val="1"/>
          <c:order val="1"/>
          <c:tx>
            <c:strRef>
              <c:f>Hoja2!$C$3</c:f>
              <c:strCache>
                <c:ptCount val="1"/>
                <c:pt idx="0">
                  <c:v>ADMISIBLES 2012</c:v>
                </c:pt>
              </c:strCache>
            </c:strRef>
          </c:tx>
          <c:dLbls>
            <c:showLegendKey val="0"/>
            <c:showVal val="1"/>
            <c:showCatName val="0"/>
            <c:showSerName val="0"/>
            <c:showPercent val="0"/>
            <c:showBubbleSize val="0"/>
            <c:showLeaderLines val="0"/>
          </c:dLbls>
          <c:cat>
            <c:strRef>
              <c:f>Hoja2!$A$4:$A$18</c:f>
              <c:strCache>
                <c:ptCount val="15"/>
                <c:pt idx="0">
                  <c:v>Arica y Parinacota</c:v>
                </c:pt>
                <c:pt idx="1">
                  <c:v>Tarapacá</c:v>
                </c:pt>
                <c:pt idx="2">
                  <c:v>Antofagasta</c:v>
                </c:pt>
                <c:pt idx="3">
                  <c:v>Atacama</c:v>
                </c:pt>
                <c:pt idx="4">
                  <c:v>Coquimbo</c:v>
                </c:pt>
                <c:pt idx="5">
                  <c:v>Valparaíso</c:v>
                </c:pt>
                <c:pt idx="6">
                  <c:v>Metropolitana</c:v>
                </c:pt>
                <c:pt idx="7">
                  <c:v>O´Higgins</c:v>
                </c:pt>
                <c:pt idx="8">
                  <c:v>Maule</c:v>
                </c:pt>
                <c:pt idx="9">
                  <c:v>Biobio</c:v>
                </c:pt>
                <c:pt idx="10">
                  <c:v>Araucanía</c:v>
                </c:pt>
                <c:pt idx="11">
                  <c:v>Los Ríos</c:v>
                </c:pt>
                <c:pt idx="12">
                  <c:v>Los Lagos</c:v>
                </c:pt>
                <c:pt idx="13">
                  <c:v>Aysén </c:v>
                </c:pt>
                <c:pt idx="14">
                  <c:v>Magallanes</c:v>
                </c:pt>
              </c:strCache>
            </c:strRef>
          </c:cat>
          <c:val>
            <c:numRef>
              <c:f>Hoja2!$C$4:$C$18</c:f>
              <c:numCache>
                <c:formatCode>General</c:formatCode>
                <c:ptCount val="15"/>
                <c:pt idx="0">
                  <c:v>4</c:v>
                </c:pt>
                <c:pt idx="1">
                  <c:v>4</c:v>
                </c:pt>
                <c:pt idx="2">
                  <c:v>1</c:v>
                </c:pt>
                <c:pt idx="3">
                  <c:v>2</c:v>
                </c:pt>
                <c:pt idx="4">
                  <c:v>12</c:v>
                </c:pt>
                <c:pt idx="5">
                  <c:v>29</c:v>
                </c:pt>
                <c:pt idx="6">
                  <c:v>41</c:v>
                </c:pt>
                <c:pt idx="7">
                  <c:v>2</c:v>
                </c:pt>
                <c:pt idx="8">
                  <c:v>0</c:v>
                </c:pt>
                <c:pt idx="9">
                  <c:v>34</c:v>
                </c:pt>
                <c:pt idx="10">
                  <c:v>11</c:v>
                </c:pt>
                <c:pt idx="11">
                  <c:v>13</c:v>
                </c:pt>
                <c:pt idx="12">
                  <c:v>8</c:v>
                </c:pt>
                <c:pt idx="13">
                  <c:v>5</c:v>
                </c:pt>
                <c:pt idx="14">
                  <c:v>3</c:v>
                </c:pt>
              </c:numCache>
            </c:numRef>
          </c:val>
          <c:smooth val="0"/>
        </c:ser>
        <c:dLbls>
          <c:showLegendKey val="0"/>
          <c:showVal val="0"/>
          <c:showCatName val="0"/>
          <c:showSerName val="0"/>
          <c:showPercent val="0"/>
          <c:showBubbleSize val="0"/>
        </c:dLbls>
        <c:marker val="1"/>
        <c:smooth val="0"/>
        <c:axId val="161514240"/>
        <c:axId val="161515776"/>
      </c:lineChart>
      <c:catAx>
        <c:axId val="161514240"/>
        <c:scaling>
          <c:orientation val="minMax"/>
        </c:scaling>
        <c:delete val="0"/>
        <c:axPos val="b"/>
        <c:majorTickMark val="out"/>
        <c:minorTickMark val="none"/>
        <c:tickLblPos val="nextTo"/>
        <c:crossAx val="161515776"/>
        <c:crosses val="autoZero"/>
        <c:auto val="1"/>
        <c:lblAlgn val="ctr"/>
        <c:lblOffset val="100"/>
        <c:noMultiLvlLbl val="0"/>
      </c:catAx>
      <c:valAx>
        <c:axId val="161515776"/>
        <c:scaling>
          <c:orientation val="minMax"/>
        </c:scaling>
        <c:delete val="0"/>
        <c:axPos val="l"/>
        <c:majorGridlines/>
        <c:numFmt formatCode="General" sourceLinked="1"/>
        <c:majorTickMark val="out"/>
        <c:minorTickMark val="none"/>
        <c:tickLblPos val="nextTo"/>
        <c:crossAx val="161514240"/>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Hoja4!$B$3</c:f>
              <c:strCache>
                <c:ptCount val="1"/>
                <c:pt idx="0">
                  <c:v>SELECCIONADOS 2012</c:v>
                </c:pt>
              </c:strCache>
            </c:strRef>
          </c:tx>
          <c:explosion val="25"/>
          <c:dLbls>
            <c:showLegendKey val="0"/>
            <c:showVal val="1"/>
            <c:showCatName val="0"/>
            <c:showSerName val="0"/>
            <c:showPercent val="0"/>
            <c:showBubbleSize val="0"/>
            <c:showLeaderLines val="1"/>
          </c:dLbls>
          <c:cat>
            <c:strRef>
              <c:f>Hoja4!$A$4:$A$18</c:f>
              <c:strCache>
                <c:ptCount val="15"/>
                <c:pt idx="0">
                  <c:v>Arica y Parinacota</c:v>
                </c:pt>
                <c:pt idx="1">
                  <c:v>Tarapacá</c:v>
                </c:pt>
                <c:pt idx="2">
                  <c:v>Antofagasta</c:v>
                </c:pt>
                <c:pt idx="3">
                  <c:v>Atacama</c:v>
                </c:pt>
                <c:pt idx="4">
                  <c:v>Coquimbo</c:v>
                </c:pt>
                <c:pt idx="5">
                  <c:v>Valparaíso</c:v>
                </c:pt>
                <c:pt idx="6">
                  <c:v>Metropolitana</c:v>
                </c:pt>
                <c:pt idx="7">
                  <c:v>O´Higgins</c:v>
                </c:pt>
                <c:pt idx="8">
                  <c:v>Maule</c:v>
                </c:pt>
                <c:pt idx="9">
                  <c:v>Biobio</c:v>
                </c:pt>
                <c:pt idx="10">
                  <c:v>Araucanía</c:v>
                </c:pt>
                <c:pt idx="11">
                  <c:v>Los Ríos</c:v>
                </c:pt>
                <c:pt idx="12">
                  <c:v>Los Lagos</c:v>
                </c:pt>
                <c:pt idx="13">
                  <c:v>Aysén </c:v>
                </c:pt>
                <c:pt idx="14">
                  <c:v>Magallanes</c:v>
                </c:pt>
              </c:strCache>
            </c:strRef>
          </c:cat>
          <c:val>
            <c:numRef>
              <c:f>Hoja4!$B$4:$B$18</c:f>
              <c:numCache>
                <c:formatCode>General</c:formatCode>
                <c:ptCount val="15"/>
                <c:pt idx="0">
                  <c:v>1</c:v>
                </c:pt>
                <c:pt idx="1">
                  <c:v>2</c:v>
                </c:pt>
                <c:pt idx="2">
                  <c:v>1</c:v>
                </c:pt>
                <c:pt idx="3">
                  <c:v>0</c:v>
                </c:pt>
                <c:pt idx="4">
                  <c:v>6</c:v>
                </c:pt>
                <c:pt idx="5">
                  <c:v>10</c:v>
                </c:pt>
                <c:pt idx="6">
                  <c:v>11</c:v>
                </c:pt>
                <c:pt idx="7">
                  <c:v>0</c:v>
                </c:pt>
                <c:pt idx="8">
                  <c:v>0</c:v>
                </c:pt>
                <c:pt idx="9">
                  <c:v>13</c:v>
                </c:pt>
                <c:pt idx="10">
                  <c:v>2</c:v>
                </c:pt>
                <c:pt idx="11">
                  <c:v>6</c:v>
                </c:pt>
                <c:pt idx="12">
                  <c:v>4</c:v>
                </c:pt>
                <c:pt idx="13">
                  <c:v>4</c:v>
                </c:pt>
                <c:pt idx="14">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howLegendKey val="0"/>
            <c:showVal val="1"/>
            <c:showCatName val="0"/>
            <c:showSerName val="0"/>
            <c:showPercent val="0"/>
            <c:showBubbleSize val="0"/>
            <c:showLeaderLines val="1"/>
          </c:dLbls>
          <c:cat>
            <c:strRef>
              <c:f>Hoja1!$C$4:$C$15</c:f>
              <c:strCache>
                <c:ptCount val="12"/>
                <c:pt idx="0">
                  <c:v> (Región de Arica y Parinacota)</c:v>
                </c:pt>
                <c:pt idx="1">
                  <c:v> (Región de Tarapacá)</c:v>
                </c:pt>
                <c:pt idx="2">
                  <c:v> (Región de Antofagasta)</c:v>
                </c:pt>
                <c:pt idx="3">
                  <c:v>(Región de Coquimbo)</c:v>
                </c:pt>
                <c:pt idx="4">
                  <c:v>(Región de Valparaíso)</c:v>
                </c:pt>
                <c:pt idx="5">
                  <c:v> (Región de Biobío)</c:v>
                </c:pt>
                <c:pt idx="6">
                  <c:v> (Región de La Araucanía)</c:v>
                </c:pt>
                <c:pt idx="7">
                  <c:v> (Región de Los Ríos)</c:v>
                </c:pt>
                <c:pt idx="8">
                  <c:v>(Región de Los Lagos)</c:v>
                </c:pt>
                <c:pt idx="9">
                  <c:v> (Región de  Aysén del General Carlos Ibáñez del Campo)</c:v>
                </c:pt>
                <c:pt idx="10">
                  <c:v> (Región de Magallanes)</c:v>
                </c:pt>
                <c:pt idx="11">
                  <c:v> (Región Metropolitana)</c:v>
                </c:pt>
              </c:strCache>
            </c:strRef>
          </c:cat>
          <c:val>
            <c:numRef>
              <c:f>Hoja1!$D$4:$D$15</c:f>
              <c:numCache>
                <c:formatCode>"$"#,##0_);[Red]\("$"#,##0\)</c:formatCode>
                <c:ptCount val="12"/>
                <c:pt idx="0">
                  <c:v>9956313</c:v>
                </c:pt>
                <c:pt idx="1">
                  <c:v>18328816</c:v>
                </c:pt>
                <c:pt idx="2">
                  <c:v>4584739</c:v>
                </c:pt>
                <c:pt idx="3">
                  <c:v>46015336</c:v>
                </c:pt>
                <c:pt idx="4">
                  <c:v>75882666</c:v>
                </c:pt>
                <c:pt idx="5">
                  <c:v>103757799</c:v>
                </c:pt>
                <c:pt idx="6">
                  <c:v>16364582</c:v>
                </c:pt>
                <c:pt idx="7">
                  <c:v>43671492</c:v>
                </c:pt>
                <c:pt idx="8">
                  <c:v>27424499</c:v>
                </c:pt>
                <c:pt idx="9">
                  <c:v>13295820</c:v>
                </c:pt>
                <c:pt idx="10">
                  <c:v>21764048</c:v>
                </c:pt>
                <c:pt idx="11">
                  <c:v>85860890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71D38-6A3D-4900-8611-B2D79284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2494</Words>
  <Characters>13722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Informe Jefatura Convocatoria FAE</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Jefatura Convocatoria FAE</dc:title>
  <dc:creator>María Jesús Chaparro Egaña</dc:creator>
  <cp:lastModifiedBy>Marcelo Andrés Lucero Tobar</cp:lastModifiedBy>
  <cp:revision>5</cp:revision>
  <dcterms:created xsi:type="dcterms:W3CDTF">2012-04-23T18:59:00Z</dcterms:created>
  <dcterms:modified xsi:type="dcterms:W3CDTF">2014-01-08T14:24:00Z</dcterms:modified>
</cp:coreProperties>
</file>