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FD" w:rsidRDefault="006F15FD" w:rsidP="007D2192">
      <w:pPr>
        <w:jc w:val="center"/>
      </w:pPr>
    </w:p>
    <w:p w:rsidR="006F15FD" w:rsidRDefault="006F15FD" w:rsidP="007D2192">
      <w:pPr>
        <w:jc w:val="center"/>
      </w:pPr>
    </w:p>
    <w:p w:rsidR="006F15FD" w:rsidRDefault="006F15FD" w:rsidP="007D2192">
      <w:pPr>
        <w:jc w:val="center"/>
      </w:pPr>
    </w:p>
    <w:p w:rsidR="006F15FD" w:rsidRDefault="006F15FD" w:rsidP="007D2192">
      <w:pPr>
        <w:jc w:val="center"/>
      </w:pPr>
    </w:p>
    <w:p w:rsidR="006F15FD" w:rsidRDefault="006F15FD" w:rsidP="007D2192">
      <w:pPr>
        <w:jc w:val="center"/>
      </w:pPr>
    </w:p>
    <w:p w:rsidR="007D2192" w:rsidRDefault="007D2192" w:rsidP="007D2192">
      <w:pPr>
        <w:jc w:val="center"/>
      </w:pPr>
      <w:r>
        <w:rPr>
          <w:noProof/>
          <w:lang w:eastAsia="es-CL"/>
        </w:rPr>
        <w:drawing>
          <wp:inline distT="0" distB="0" distL="0" distR="0" wp14:anchorId="6C34F05C" wp14:editId="45F5F80D">
            <wp:extent cx="2714625" cy="2714625"/>
            <wp:effectExtent l="0" t="0" r="9525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e-285x28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192" w:rsidRDefault="007D2192" w:rsidP="007D2192">
      <w:pPr>
        <w:pStyle w:val="CompanyInfo"/>
        <w:rPr>
          <w:noProof/>
          <w:lang w:val="es-ES_tradnl"/>
        </w:rPr>
      </w:pPr>
    </w:p>
    <w:p w:rsidR="007D2192" w:rsidRDefault="007D2192" w:rsidP="007D2192">
      <w:pPr>
        <w:pStyle w:val="CompanyInfo"/>
        <w:rPr>
          <w:noProof/>
          <w:lang w:val="es-ES_tradnl"/>
        </w:rPr>
      </w:pPr>
    </w:p>
    <w:p w:rsidR="007D2192" w:rsidRDefault="007D2192" w:rsidP="007D2192">
      <w:pPr>
        <w:pStyle w:val="CompanyInfo"/>
        <w:rPr>
          <w:noProof/>
          <w:lang w:val="es-ES_tradnl"/>
        </w:rPr>
      </w:pPr>
    </w:p>
    <w:p w:rsidR="007D2192" w:rsidRDefault="007D2192" w:rsidP="007D2192">
      <w:pPr>
        <w:pStyle w:val="CompanyInfo"/>
        <w:rPr>
          <w:noProof/>
          <w:lang w:val="es-ES_tradnl"/>
        </w:rPr>
      </w:pPr>
    </w:p>
    <w:p w:rsidR="00845D9D" w:rsidRDefault="00845D9D" w:rsidP="007D2192">
      <w:pPr>
        <w:pStyle w:val="CompanyInfo"/>
        <w:rPr>
          <w:noProof/>
          <w:lang w:val="es-ES_tradnl"/>
        </w:rPr>
      </w:pPr>
    </w:p>
    <w:p w:rsidR="00845D9D" w:rsidRDefault="00845D9D" w:rsidP="007D2192">
      <w:pPr>
        <w:pStyle w:val="CompanyInfo"/>
        <w:rPr>
          <w:noProof/>
          <w:lang w:val="es-ES_tradnl"/>
        </w:rPr>
      </w:pPr>
    </w:p>
    <w:p w:rsidR="00845D9D" w:rsidRDefault="00845D9D" w:rsidP="007D2192">
      <w:pPr>
        <w:pStyle w:val="CompanyInfo"/>
        <w:rPr>
          <w:noProof/>
          <w:lang w:val="es-ES_tradnl"/>
        </w:rPr>
      </w:pPr>
    </w:p>
    <w:p w:rsidR="006F15FD" w:rsidRDefault="006F15FD" w:rsidP="007D2192">
      <w:pPr>
        <w:pStyle w:val="CompanyInfo"/>
        <w:rPr>
          <w:noProof/>
          <w:lang w:val="es-ES_tradnl"/>
        </w:rPr>
      </w:pPr>
    </w:p>
    <w:p w:rsidR="006F15FD" w:rsidRDefault="006F15FD" w:rsidP="007D2192">
      <w:pPr>
        <w:pStyle w:val="CompanyInfo"/>
        <w:rPr>
          <w:noProof/>
          <w:lang w:val="es-ES_tradnl"/>
        </w:rPr>
      </w:pPr>
    </w:p>
    <w:p w:rsidR="006F15FD" w:rsidRDefault="006F15FD" w:rsidP="007D2192">
      <w:pPr>
        <w:pStyle w:val="CompanyInfo"/>
        <w:rPr>
          <w:noProof/>
          <w:lang w:val="es-ES_tradnl"/>
        </w:rPr>
      </w:pPr>
    </w:p>
    <w:p w:rsidR="006F15FD" w:rsidRDefault="006F15FD" w:rsidP="007D2192">
      <w:pPr>
        <w:pStyle w:val="CompanyInfo"/>
        <w:rPr>
          <w:noProof/>
          <w:lang w:val="es-ES_tradnl"/>
        </w:rPr>
      </w:pPr>
    </w:p>
    <w:p w:rsidR="006F15FD" w:rsidRDefault="006F15FD" w:rsidP="007D2192">
      <w:pPr>
        <w:pStyle w:val="CompanyInfo"/>
        <w:rPr>
          <w:noProof/>
          <w:lang w:val="es-ES_tradnl"/>
        </w:rPr>
      </w:pPr>
    </w:p>
    <w:p w:rsidR="006F15FD" w:rsidRDefault="006F15FD" w:rsidP="007D2192">
      <w:pPr>
        <w:pStyle w:val="CompanyInfo"/>
        <w:rPr>
          <w:noProof/>
          <w:lang w:val="es-ES_tradnl"/>
        </w:rPr>
      </w:pPr>
    </w:p>
    <w:p w:rsidR="007D2192" w:rsidRDefault="007D2192" w:rsidP="007D2192">
      <w:pPr>
        <w:pStyle w:val="CompanyInfo"/>
        <w:rPr>
          <w:noProof/>
          <w:lang w:val="es-ES_tradnl"/>
        </w:rPr>
      </w:pPr>
    </w:p>
    <w:p w:rsidR="007D2192" w:rsidRPr="00D047B5" w:rsidRDefault="007D2192" w:rsidP="007D2192">
      <w:pPr>
        <w:pStyle w:val="CompanyInfo"/>
        <w:rPr>
          <w:noProof/>
          <w:lang w:val="es-ES_tradnl"/>
        </w:rPr>
      </w:pPr>
      <w:r>
        <w:rPr>
          <w:noProof/>
          <w:lang w:val="es-ES_tradnl"/>
        </w:rPr>
        <w:t>Sección de Educación Artística</w:t>
      </w:r>
    </w:p>
    <w:p w:rsidR="007D2192" w:rsidRDefault="007D2192" w:rsidP="007D2192">
      <w:pPr>
        <w:jc w:val="center"/>
        <w:rPr>
          <w:noProof/>
          <w:color w:val="808080"/>
          <w:lang w:val="es-ES_tradnl"/>
        </w:rPr>
      </w:pPr>
      <w:r>
        <w:rPr>
          <w:noProof/>
          <w:color w:val="808080"/>
          <w:lang w:val="es-ES_tradnl"/>
        </w:rPr>
        <w:t xml:space="preserve">Dpto. Ciudadanía y Cultura </w:t>
      </w:r>
    </w:p>
    <w:p w:rsidR="007D2192" w:rsidRDefault="007D2192" w:rsidP="007D2192">
      <w:pPr>
        <w:jc w:val="center"/>
        <w:rPr>
          <w:noProof/>
          <w:color w:val="808080"/>
          <w:lang w:val="es-ES_tradnl"/>
        </w:rPr>
      </w:pPr>
      <w:r>
        <w:rPr>
          <w:noProof/>
          <w:color w:val="808080"/>
          <w:lang w:val="es-ES_tradnl"/>
        </w:rPr>
        <w:t>CONSEJO NACIONAL DE LA CULTURA Y LAS ARTES.</w:t>
      </w:r>
    </w:p>
    <w:p w:rsidR="006F15FD" w:rsidRDefault="007D2192" w:rsidP="006F15FD">
      <w:pPr>
        <w:jc w:val="center"/>
        <w:rPr>
          <w:noProof/>
          <w:lang w:val="es-ES_tradnl"/>
        </w:rPr>
      </w:pPr>
      <w:r>
        <w:rPr>
          <w:noProof/>
          <w:color w:val="808080"/>
          <w:lang w:val="es-ES_tradnl"/>
        </w:rPr>
        <w:t>2013.</w:t>
      </w:r>
    </w:p>
    <w:p w:rsidR="006F15FD" w:rsidRDefault="006F15FD" w:rsidP="006F15FD">
      <w:pPr>
        <w:jc w:val="center"/>
        <w:rPr>
          <w:noProof/>
          <w:lang w:val="es-ES_tradnl"/>
        </w:rPr>
      </w:pPr>
    </w:p>
    <w:p w:rsidR="00845D9D" w:rsidRDefault="00845D9D" w:rsidP="006F15FD">
      <w:pPr>
        <w:jc w:val="center"/>
        <w:rPr>
          <w:noProof/>
          <w:lang w:val="es-ES_tradnl"/>
        </w:rPr>
      </w:pPr>
    </w:p>
    <w:p w:rsidR="00845D9D" w:rsidRPr="006F15FD" w:rsidRDefault="00845D9D" w:rsidP="006F15FD">
      <w:pPr>
        <w:jc w:val="center"/>
        <w:rPr>
          <w:noProof/>
          <w:lang w:val="es-ES_tradnl"/>
        </w:rPr>
      </w:pPr>
    </w:p>
    <w:p w:rsidR="007D2192" w:rsidRDefault="007D2192" w:rsidP="007D2192">
      <w:pPr>
        <w:pStyle w:val="Ttulo1"/>
        <w:numPr>
          <w:ilvl w:val="0"/>
          <w:numId w:val="1"/>
        </w:numPr>
        <w:rPr>
          <w:rFonts w:ascii="Verdana" w:hAnsi="Verdana"/>
          <w:noProof/>
          <w:sz w:val="28"/>
          <w:szCs w:val="28"/>
          <w:lang w:val="es-ES_tradnl"/>
        </w:rPr>
      </w:pPr>
      <w:r w:rsidRPr="00B95749">
        <w:rPr>
          <w:rFonts w:ascii="Verdana" w:hAnsi="Verdana"/>
          <w:noProof/>
          <w:sz w:val="28"/>
          <w:szCs w:val="28"/>
          <w:lang w:val="es-ES_tradnl"/>
        </w:rPr>
        <w:lastRenderedPageBreak/>
        <w:t>Antecedentes</w:t>
      </w:r>
    </w:p>
    <w:p w:rsidR="00B95749" w:rsidRPr="00B95749" w:rsidRDefault="00B95749" w:rsidP="00B95749">
      <w:pPr>
        <w:rPr>
          <w:lang w:val="es-ES_tradnl" w:eastAsia="zh-TW"/>
        </w:rPr>
      </w:pPr>
    </w:p>
    <w:p w:rsidR="007D2192" w:rsidRPr="00B95749" w:rsidRDefault="007D2192" w:rsidP="007D2192">
      <w:pPr>
        <w:spacing w:line="360" w:lineRule="auto"/>
        <w:ind w:firstLine="708"/>
        <w:jc w:val="both"/>
        <w:rPr>
          <w:rFonts w:ascii="Verdana" w:hAnsi="Verdana" w:cs="Calibri"/>
          <w:bCs/>
          <w:sz w:val="18"/>
          <w:szCs w:val="18"/>
          <w:lang w:val="es-ES"/>
        </w:rPr>
      </w:pPr>
      <w:r w:rsidRPr="00B95749">
        <w:rPr>
          <w:rFonts w:ascii="Verdana" w:hAnsi="Verdana" w:cs="Calibri"/>
          <w:sz w:val="18"/>
          <w:szCs w:val="18"/>
          <w:lang w:val="es-ES"/>
        </w:rPr>
        <w:t xml:space="preserve">El Fondo Nacional de Escuelas Artísticas (FNEA) creado el año 1996,  destinaba su convocatoria sólo a establecimientos educacionales reconocidos por </w:t>
      </w:r>
      <w:proofErr w:type="spellStart"/>
      <w:r w:rsidRPr="00B95749">
        <w:rPr>
          <w:rFonts w:ascii="Verdana" w:hAnsi="Verdana" w:cs="Calibri"/>
          <w:sz w:val="18"/>
          <w:szCs w:val="18"/>
          <w:lang w:val="es-ES"/>
        </w:rPr>
        <w:t>Mineduc</w:t>
      </w:r>
      <w:proofErr w:type="spellEnd"/>
      <w:r w:rsidRPr="00B95749">
        <w:rPr>
          <w:rFonts w:ascii="Verdana" w:hAnsi="Verdana" w:cs="Calibri"/>
          <w:sz w:val="18"/>
          <w:szCs w:val="18"/>
          <w:lang w:val="es-ES"/>
        </w:rPr>
        <w:t xml:space="preserve"> como “Escuelas Artísticas” (35) y aquellos reconocidos desde el Consejo como “en Transición” (14), correspondientes a educación formal y no formal. El año 2011 la Sección de Educación Artística asume un nuevo desafío, que es apuntar a </w:t>
      </w:r>
      <w:r w:rsidRPr="00B95749">
        <w:rPr>
          <w:rFonts w:ascii="Verdana" w:hAnsi="Verdana" w:cs="Calibri"/>
          <w:bCs/>
          <w:sz w:val="18"/>
          <w:szCs w:val="18"/>
        </w:rPr>
        <w:t>que las instituciones educativas que incorporan el arte en su proyecto educativo y atienden a población en edad escolar, dispongan de más fuentes de financiamiento. Por tanto se plantea una reformulación que amplía la población objetivo, para llegar con mayor cantidad de financiamiento, a las instituciones educativas del sistema formal y no formal.</w:t>
      </w:r>
      <w:r w:rsidRPr="00B95749">
        <w:rPr>
          <w:rFonts w:ascii="Verdana" w:hAnsi="Verdana" w:cs="Calibri"/>
          <w:bCs/>
          <w:sz w:val="18"/>
          <w:szCs w:val="18"/>
          <w:lang w:val="es-ES"/>
        </w:rPr>
        <w:t xml:space="preserve"> Este cambio motiva y justifica el cambio de nombre del programa a Fondo de Fomento del Arte en la Educación (FAE).</w:t>
      </w:r>
    </w:p>
    <w:p w:rsidR="007D2192" w:rsidRPr="00B95749" w:rsidRDefault="007D2192" w:rsidP="007D2192">
      <w:pPr>
        <w:spacing w:line="360" w:lineRule="auto"/>
        <w:ind w:firstLine="708"/>
        <w:jc w:val="both"/>
        <w:rPr>
          <w:rFonts w:ascii="Verdana" w:hAnsi="Verdana" w:cs="Calibri"/>
          <w:bCs/>
          <w:sz w:val="18"/>
          <w:szCs w:val="18"/>
          <w:lang w:val="es-ES"/>
        </w:rPr>
      </w:pPr>
      <w:r w:rsidRPr="00B95749">
        <w:rPr>
          <w:rFonts w:ascii="Verdana" w:hAnsi="Verdana" w:cs="Calibri"/>
          <w:sz w:val="18"/>
          <w:szCs w:val="18"/>
          <w:lang w:val="es-ES"/>
        </w:rPr>
        <w:t xml:space="preserve">La estrategia actual del FAE amplía la convocatoria a instituciones que alberguen a estudiantes que tengan condición de vulnerabilidad y que desarrollen proyectos educativos con componente artístico.  Esta reformulación apunta a ser un fondo que entrega recursos financieros a través de 3 categorías: (1) </w:t>
      </w:r>
      <w:r w:rsidRPr="00B95749">
        <w:rPr>
          <w:rFonts w:ascii="Verdana" w:hAnsi="Verdana" w:cs="Calibri"/>
          <w:b/>
          <w:sz w:val="18"/>
          <w:szCs w:val="18"/>
          <w:lang w:val="es-ES"/>
        </w:rPr>
        <w:t>Desarrollo de la educación artística especializada</w:t>
      </w:r>
      <w:r w:rsidRPr="00B95749">
        <w:rPr>
          <w:rFonts w:ascii="Verdana" w:hAnsi="Verdana" w:cs="Calibri"/>
          <w:sz w:val="18"/>
          <w:szCs w:val="18"/>
          <w:lang w:val="es-ES"/>
        </w:rPr>
        <w:t xml:space="preserve">; escuelas y liceos artísticos reconocidos por </w:t>
      </w:r>
      <w:proofErr w:type="spellStart"/>
      <w:r w:rsidRPr="00B95749">
        <w:rPr>
          <w:rFonts w:ascii="Verdana" w:hAnsi="Verdana" w:cs="Calibri"/>
          <w:sz w:val="18"/>
          <w:szCs w:val="18"/>
          <w:lang w:val="es-ES"/>
        </w:rPr>
        <w:t>Mineduc</w:t>
      </w:r>
      <w:proofErr w:type="spellEnd"/>
      <w:r w:rsidRPr="00B95749">
        <w:rPr>
          <w:rFonts w:ascii="Verdana" w:hAnsi="Verdana" w:cs="Calibri"/>
          <w:sz w:val="18"/>
          <w:szCs w:val="18"/>
          <w:lang w:val="es-ES"/>
        </w:rPr>
        <w:t xml:space="preserve"> y formación artística diferenciada; (2) </w:t>
      </w:r>
      <w:r w:rsidRPr="00B95749">
        <w:rPr>
          <w:rFonts w:ascii="Verdana" w:hAnsi="Verdana" w:cs="Calibri"/>
          <w:b/>
          <w:sz w:val="18"/>
          <w:szCs w:val="18"/>
          <w:lang w:val="es-ES"/>
        </w:rPr>
        <w:t>Desarrollo del Arte en el Currículum General;</w:t>
      </w:r>
      <w:r w:rsidRPr="00B95749">
        <w:rPr>
          <w:rFonts w:ascii="Verdana" w:hAnsi="Verdana" w:cs="Calibri"/>
          <w:sz w:val="18"/>
          <w:szCs w:val="18"/>
          <w:lang w:val="es-ES"/>
        </w:rPr>
        <w:t xml:space="preserve"> escuelas y liceos que dentro de sus Proyectos Educativos incorporan el arte y la cultura como herramientas didácticas – pedagógicas para el desarrollo integral de sus educandos como complemento al currículum general; y (3) </w:t>
      </w:r>
      <w:r w:rsidRPr="00B95749">
        <w:rPr>
          <w:rFonts w:ascii="Verdana" w:hAnsi="Verdana" w:cs="Calibri"/>
          <w:b/>
          <w:sz w:val="18"/>
          <w:szCs w:val="18"/>
          <w:lang w:val="es-ES"/>
        </w:rPr>
        <w:t>Desarrollo del Arte en la Educación No Formal</w:t>
      </w:r>
      <w:r w:rsidRPr="00B95749">
        <w:rPr>
          <w:rFonts w:ascii="Verdana" w:hAnsi="Verdana" w:cs="Calibri"/>
          <w:sz w:val="18"/>
          <w:szCs w:val="18"/>
          <w:lang w:val="es-ES"/>
        </w:rPr>
        <w:t xml:space="preserve">; centros culturales, corporaciones, conservatorios, entre otros. Los proyectos se presentan a 4 líneas de postulación: </w:t>
      </w:r>
      <w:r w:rsidRPr="00B95749">
        <w:rPr>
          <w:rFonts w:ascii="Verdana" w:hAnsi="Verdana" w:cs="Calibri"/>
          <w:sz w:val="18"/>
          <w:szCs w:val="18"/>
          <w:u w:val="single"/>
          <w:lang w:val="es-ES"/>
        </w:rPr>
        <w:t>Perfeccionamiento Docente y Directivo</w:t>
      </w:r>
      <w:r w:rsidRPr="00B95749">
        <w:rPr>
          <w:rFonts w:ascii="Verdana" w:hAnsi="Verdana" w:cs="Calibri"/>
          <w:sz w:val="18"/>
          <w:szCs w:val="18"/>
          <w:lang w:val="es-ES"/>
        </w:rPr>
        <w:t xml:space="preserve">, </w:t>
      </w:r>
      <w:r w:rsidRPr="00B95749">
        <w:rPr>
          <w:rFonts w:ascii="Verdana" w:hAnsi="Verdana" w:cs="Calibri"/>
          <w:sz w:val="18"/>
          <w:szCs w:val="18"/>
          <w:u w:val="single"/>
          <w:lang w:val="es-ES"/>
        </w:rPr>
        <w:t>Implementación Curricular</w:t>
      </w:r>
      <w:r w:rsidRPr="00B95749">
        <w:rPr>
          <w:rFonts w:ascii="Verdana" w:hAnsi="Verdana" w:cs="Calibri"/>
          <w:sz w:val="18"/>
          <w:szCs w:val="18"/>
          <w:lang w:val="es-ES"/>
        </w:rPr>
        <w:t xml:space="preserve">, </w:t>
      </w:r>
      <w:r w:rsidRPr="00B95749">
        <w:rPr>
          <w:rFonts w:ascii="Verdana" w:hAnsi="Verdana" w:cs="Calibri"/>
          <w:sz w:val="18"/>
          <w:szCs w:val="18"/>
          <w:u w:val="single"/>
          <w:lang w:val="es-ES"/>
        </w:rPr>
        <w:t>Extensión y Difusión</w:t>
      </w:r>
      <w:r w:rsidRPr="00B95749">
        <w:rPr>
          <w:rFonts w:ascii="Verdana" w:hAnsi="Verdana" w:cs="Calibri"/>
          <w:sz w:val="18"/>
          <w:szCs w:val="18"/>
          <w:lang w:val="es-ES"/>
        </w:rPr>
        <w:t xml:space="preserve"> y </w:t>
      </w:r>
      <w:r w:rsidRPr="00B95749">
        <w:rPr>
          <w:rFonts w:ascii="Verdana" w:hAnsi="Verdana" w:cs="Calibri"/>
          <w:sz w:val="18"/>
          <w:szCs w:val="18"/>
          <w:u w:val="single"/>
          <w:lang w:val="es-ES"/>
        </w:rPr>
        <w:t xml:space="preserve">Equipamiento y Material de Enseñanza. </w:t>
      </w:r>
      <w:r w:rsidRPr="00B95749">
        <w:rPr>
          <w:rFonts w:ascii="Verdana" w:hAnsi="Verdana" w:cs="Calibri"/>
          <w:sz w:val="18"/>
          <w:szCs w:val="18"/>
          <w:lang w:val="es-ES"/>
        </w:rPr>
        <w:t>Las instituciones educativas que quieran adjudicar, deben presentar proyectos artísticos sistemáticos que fomenten el arte en el proceso de aprendizaje y que consideren el arte como una herramienta complementaria para la formación de los niños, niñas y jóvenes. Éstas deben tener el apoyo de la comunidad escolar y su sostenedor, y acreditar una duración mínima de dos años de funcionamiento.</w:t>
      </w:r>
      <w:r w:rsidRPr="00B95749">
        <w:rPr>
          <w:rFonts w:ascii="Verdana" w:hAnsi="Verdana" w:cs="Calibri"/>
          <w:bCs/>
          <w:sz w:val="18"/>
          <w:szCs w:val="18"/>
          <w:lang w:val="es-ES"/>
        </w:rPr>
        <w:t xml:space="preserve"> </w:t>
      </w:r>
    </w:p>
    <w:p w:rsidR="007D2192" w:rsidRPr="00B95749" w:rsidRDefault="007D2192" w:rsidP="006F15FD">
      <w:pPr>
        <w:spacing w:line="360" w:lineRule="auto"/>
        <w:jc w:val="both"/>
        <w:rPr>
          <w:rFonts w:ascii="Verdana" w:hAnsi="Verdana" w:cs="Calibri"/>
          <w:bCs/>
          <w:sz w:val="18"/>
          <w:szCs w:val="18"/>
          <w:lang w:val="es-ES"/>
        </w:rPr>
      </w:pPr>
      <w:r w:rsidRPr="00B95749">
        <w:rPr>
          <w:rFonts w:ascii="Verdana" w:hAnsi="Verdana" w:cs="Calibri"/>
          <w:bCs/>
          <w:sz w:val="18"/>
          <w:szCs w:val="18"/>
          <w:lang w:val="es-ES"/>
        </w:rPr>
        <w:t>El fin de este programa es: Contribuir al fomento del arte en la educación formal y no formal, en sus diferentes lenguajes (o dominios) como herramienta en el proceso de desarrollo y de enseñanza - aprend</w:t>
      </w:r>
      <w:r w:rsidR="006F15FD" w:rsidRPr="00B95749">
        <w:rPr>
          <w:rFonts w:ascii="Verdana" w:hAnsi="Verdana" w:cs="Calibri"/>
          <w:bCs/>
          <w:sz w:val="18"/>
          <w:szCs w:val="18"/>
          <w:lang w:val="es-ES"/>
        </w:rPr>
        <w:t>izaje de niños, niñas y jóvenes.</w:t>
      </w:r>
    </w:p>
    <w:p w:rsidR="00B95749" w:rsidRDefault="00B95749" w:rsidP="007D2192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7D2192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7D2192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7D2192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7D2192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7D2192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7D2192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7D2192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845D9D" w:rsidRDefault="00845D9D" w:rsidP="00845D9D">
      <w:pPr>
        <w:rPr>
          <w:lang w:val="es-ES_tradnl" w:eastAsia="zh-TW"/>
        </w:rPr>
      </w:pPr>
    </w:p>
    <w:p w:rsidR="00845D9D" w:rsidRPr="00845D9D" w:rsidRDefault="00845D9D" w:rsidP="00845D9D">
      <w:pPr>
        <w:rPr>
          <w:lang w:val="es-ES_tradnl" w:eastAsia="zh-TW"/>
        </w:rPr>
      </w:pPr>
    </w:p>
    <w:p w:rsidR="007D2192" w:rsidRPr="00B95749" w:rsidRDefault="007D2192" w:rsidP="007D2192">
      <w:pPr>
        <w:pStyle w:val="Ttulo1"/>
        <w:rPr>
          <w:rFonts w:ascii="Verdana" w:hAnsi="Verdana"/>
          <w:noProof/>
          <w:sz w:val="28"/>
          <w:szCs w:val="28"/>
          <w:lang w:val="es-ES_tradnl"/>
        </w:rPr>
      </w:pPr>
      <w:r w:rsidRPr="00B95749">
        <w:rPr>
          <w:rFonts w:ascii="Verdana" w:hAnsi="Verdana"/>
          <w:noProof/>
          <w:sz w:val="28"/>
          <w:szCs w:val="28"/>
          <w:lang w:val="es-ES_tradnl"/>
        </w:rPr>
        <w:lastRenderedPageBreak/>
        <w:t>2</w:t>
      </w:r>
      <w:r w:rsidR="00B95749">
        <w:rPr>
          <w:rFonts w:ascii="Verdana" w:hAnsi="Verdana"/>
          <w:noProof/>
          <w:sz w:val="28"/>
          <w:szCs w:val="28"/>
          <w:lang w:val="es-ES_tradnl"/>
        </w:rPr>
        <w:t>.</w:t>
      </w:r>
      <w:r w:rsidRPr="00B95749">
        <w:rPr>
          <w:rFonts w:ascii="Verdana" w:hAnsi="Verdana"/>
          <w:noProof/>
          <w:sz w:val="28"/>
          <w:szCs w:val="28"/>
          <w:lang w:val="es-ES_tradnl"/>
        </w:rPr>
        <w:t xml:space="preserve"> FNEA 2010 - 2011.</w:t>
      </w:r>
    </w:p>
    <w:p w:rsidR="00B95749" w:rsidRPr="00E24A38" w:rsidRDefault="007D2192" w:rsidP="00E24A38">
      <w:pPr>
        <w:pStyle w:val="Ttulo2"/>
        <w:rPr>
          <w:rFonts w:ascii="Verdana" w:hAnsi="Verdana"/>
          <w:noProof/>
          <w:sz w:val="18"/>
          <w:szCs w:val="18"/>
          <w:lang w:val="es-ES_tradnl"/>
        </w:rPr>
      </w:pPr>
      <w:r w:rsidRPr="00B95749">
        <w:rPr>
          <w:rFonts w:ascii="Verdana" w:hAnsi="Verdana"/>
          <w:noProof/>
          <w:sz w:val="18"/>
          <w:szCs w:val="18"/>
          <w:lang w:val="es-ES_tradnl"/>
        </w:rPr>
        <w:t>Fondo Nacional de Escuelas Artísticas</w:t>
      </w:r>
    </w:p>
    <w:p w:rsidR="00D13A86" w:rsidRPr="00B95749" w:rsidRDefault="007D2192" w:rsidP="00B95749">
      <w:pPr>
        <w:jc w:val="both"/>
        <w:rPr>
          <w:rFonts w:ascii="Verdana" w:hAnsi="Verdana"/>
          <w:sz w:val="18"/>
          <w:szCs w:val="18"/>
          <w:lang w:val="es-ES_tradnl"/>
        </w:rPr>
      </w:pPr>
      <w:r w:rsidRPr="00B95749">
        <w:rPr>
          <w:rFonts w:ascii="Verdana" w:hAnsi="Verdana"/>
          <w:sz w:val="18"/>
          <w:szCs w:val="18"/>
          <w:lang w:val="es-ES_tradnl"/>
        </w:rPr>
        <w:t>El Fondo Nacional de Escuelas Artísticas (FNEA) beneficio a establecimientos educacionales</w:t>
      </w:r>
      <w:r w:rsidR="00D13A86" w:rsidRPr="00B95749">
        <w:rPr>
          <w:rFonts w:ascii="Verdana" w:hAnsi="Verdana"/>
          <w:sz w:val="18"/>
          <w:szCs w:val="18"/>
          <w:lang w:val="es-ES_tradnl"/>
        </w:rPr>
        <w:t xml:space="preserve"> (12 escuelas y 13 Liceos)</w:t>
      </w:r>
      <w:r w:rsidRPr="00B95749">
        <w:rPr>
          <w:rFonts w:ascii="Verdana" w:hAnsi="Verdana"/>
          <w:sz w:val="18"/>
          <w:szCs w:val="18"/>
          <w:lang w:val="es-ES_tradnl"/>
        </w:rPr>
        <w:t xml:space="preserve">, academias y </w:t>
      </w:r>
      <w:r w:rsidR="00D13A86" w:rsidRPr="00B95749">
        <w:rPr>
          <w:rFonts w:ascii="Verdana" w:hAnsi="Verdana"/>
          <w:sz w:val="18"/>
          <w:szCs w:val="18"/>
          <w:lang w:val="es-ES_tradnl"/>
        </w:rPr>
        <w:t>conservatorios (10 en total)</w:t>
      </w:r>
      <w:r w:rsidRPr="00B95749">
        <w:rPr>
          <w:rFonts w:ascii="Verdana" w:hAnsi="Verdana"/>
          <w:sz w:val="18"/>
          <w:szCs w:val="18"/>
          <w:lang w:val="es-ES_tradnl"/>
        </w:rPr>
        <w:t xml:space="preserve"> recono</w:t>
      </w:r>
      <w:r w:rsidR="00D13A86" w:rsidRPr="00B95749">
        <w:rPr>
          <w:rFonts w:ascii="Verdana" w:hAnsi="Verdana"/>
          <w:sz w:val="18"/>
          <w:szCs w:val="18"/>
          <w:lang w:val="es-ES_tradnl"/>
        </w:rPr>
        <w:t>cido</w:t>
      </w:r>
      <w:r w:rsidRPr="00B95749">
        <w:rPr>
          <w:rFonts w:ascii="Verdana" w:hAnsi="Verdana"/>
          <w:sz w:val="18"/>
          <w:szCs w:val="18"/>
          <w:lang w:val="es-ES_tradnl"/>
        </w:rPr>
        <w:t>s como “Escuelas artísticas”</w:t>
      </w:r>
      <w:r w:rsidR="00D13A86" w:rsidRPr="00B95749">
        <w:rPr>
          <w:rFonts w:ascii="Verdana" w:hAnsi="Verdana"/>
          <w:sz w:val="18"/>
          <w:szCs w:val="18"/>
          <w:lang w:val="es-ES_tradnl"/>
        </w:rPr>
        <w:t xml:space="preserve"> </w:t>
      </w:r>
      <w:r w:rsidR="00391B3F" w:rsidRPr="00B95749">
        <w:rPr>
          <w:rFonts w:ascii="Verdana" w:hAnsi="Verdana"/>
          <w:sz w:val="18"/>
          <w:szCs w:val="18"/>
          <w:lang w:val="es-ES_tradnl"/>
        </w:rPr>
        <w:t xml:space="preserve">con cerca de un </w:t>
      </w:r>
      <w:r w:rsidR="00133913" w:rsidRPr="00B95749">
        <w:rPr>
          <w:rFonts w:ascii="Verdana" w:hAnsi="Verdana"/>
          <w:sz w:val="18"/>
          <w:szCs w:val="18"/>
          <w:lang w:val="es-ES_tradnl"/>
        </w:rPr>
        <w:t xml:space="preserve">93,33% del presupuesto </w:t>
      </w:r>
      <w:r w:rsidR="00D13A86" w:rsidRPr="00B95749">
        <w:rPr>
          <w:rFonts w:ascii="Verdana" w:hAnsi="Verdana"/>
          <w:sz w:val="18"/>
          <w:szCs w:val="18"/>
          <w:lang w:val="es-ES_tradnl"/>
        </w:rPr>
        <w:t>total asignado en el período 1996 – 2011, presupuesto que en 15 años  que supero los cinco mil millones de pesos (</w:t>
      </w:r>
      <w:r w:rsidR="00100523" w:rsidRPr="00B95749">
        <w:rPr>
          <w:rFonts w:ascii="Verdana" w:hAnsi="Verdana"/>
          <w:sz w:val="18"/>
          <w:szCs w:val="18"/>
          <w:lang w:val="es-ES_tradnl"/>
        </w:rPr>
        <w:t xml:space="preserve">$ </w:t>
      </w:r>
      <w:r w:rsidR="00D13A86" w:rsidRPr="00B95749">
        <w:rPr>
          <w:rFonts w:ascii="Verdana" w:hAnsi="Verdana"/>
          <w:sz w:val="18"/>
          <w:szCs w:val="18"/>
          <w:lang w:val="es-ES_tradnl"/>
        </w:rPr>
        <w:t xml:space="preserve">5.172.159.896). </w:t>
      </w:r>
    </w:p>
    <w:p w:rsidR="00100523" w:rsidRPr="00B95749" w:rsidRDefault="00100523" w:rsidP="00B95749">
      <w:pPr>
        <w:jc w:val="both"/>
        <w:rPr>
          <w:rFonts w:ascii="Verdana" w:hAnsi="Verdana"/>
          <w:sz w:val="18"/>
          <w:szCs w:val="18"/>
          <w:lang w:val="es-ES_tradnl"/>
        </w:rPr>
      </w:pPr>
      <w:r w:rsidRPr="00B95749">
        <w:rPr>
          <w:rFonts w:ascii="Verdana" w:hAnsi="Verdana"/>
          <w:sz w:val="18"/>
          <w:szCs w:val="18"/>
          <w:lang w:val="es-ES_tradnl"/>
        </w:rPr>
        <w:t xml:space="preserve">Por otra parte en el período </w:t>
      </w:r>
      <w:r w:rsidR="00D13A86" w:rsidRPr="00B95749">
        <w:rPr>
          <w:rFonts w:ascii="Verdana" w:hAnsi="Verdana"/>
          <w:sz w:val="18"/>
          <w:szCs w:val="18"/>
          <w:lang w:val="es-ES_tradnl"/>
        </w:rPr>
        <w:t>2009 –</w:t>
      </w:r>
      <w:r w:rsidRPr="00B95749">
        <w:rPr>
          <w:rFonts w:ascii="Verdana" w:hAnsi="Verdana"/>
          <w:sz w:val="18"/>
          <w:szCs w:val="18"/>
          <w:lang w:val="es-ES_tradnl"/>
        </w:rPr>
        <w:t xml:space="preserve"> 2011de dicho del FNEA,</w:t>
      </w:r>
      <w:r w:rsidR="00D13A86" w:rsidRPr="00B95749">
        <w:rPr>
          <w:rFonts w:ascii="Verdana" w:hAnsi="Verdana"/>
          <w:sz w:val="18"/>
          <w:szCs w:val="18"/>
          <w:lang w:val="es-ES_tradnl"/>
        </w:rPr>
        <w:t xml:space="preserve"> se incorporó a nuevos establecimientos educacionales</w:t>
      </w:r>
      <w:r w:rsidRPr="00B95749">
        <w:rPr>
          <w:rFonts w:ascii="Verdana" w:hAnsi="Verdana"/>
          <w:sz w:val="18"/>
          <w:szCs w:val="18"/>
          <w:lang w:val="es-ES_tradnl"/>
        </w:rPr>
        <w:t xml:space="preserve"> (14 en total)</w:t>
      </w:r>
      <w:r w:rsidR="00D13A86" w:rsidRPr="00B95749">
        <w:rPr>
          <w:rFonts w:ascii="Verdana" w:hAnsi="Verdana"/>
          <w:sz w:val="18"/>
          <w:szCs w:val="18"/>
          <w:lang w:val="es-ES_tradnl"/>
        </w:rPr>
        <w:t xml:space="preserve"> que se categorizaron como “escuelas artísticas en transición”</w:t>
      </w:r>
      <w:r w:rsidRPr="00B95749">
        <w:rPr>
          <w:rFonts w:ascii="Verdana" w:hAnsi="Verdana"/>
          <w:sz w:val="18"/>
          <w:szCs w:val="18"/>
          <w:lang w:val="es-ES_tradnl"/>
        </w:rPr>
        <w:t>, ya que, el perfil de se aproximaba a la idea de transformación hacia un establecimiento educacional con reconocimiento por parte del MINEDUC como es “Escuela Artística”. Estos establecimientos alcanzaron en dicho período un financiamiento a sus proyectos por  sobre los trecientos millones de pesos ($ 313.108.593).</w:t>
      </w:r>
    </w:p>
    <w:p w:rsidR="00100523" w:rsidRPr="00B95749" w:rsidRDefault="00100523" w:rsidP="00B95749">
      <w:pPr>
        <w:jc w:val="both"/>
        <w:rPr>
          <w:rFonts w:ascii="Verdana" w:hAnsi="Verdana"/>
          <w:sz w:val="18"/>
          <w:szCs w:val="18"/>
          <w:lang w:val="es-ES_tradnl"/>
        </w:rPr>
      </w:pPr>
      <w:r w:rsidRPr="00B95749">
        <w:rPr>
          <w:rFonts w:ascii="Verdana" w:hAnsi="Verdana"/>
          <w:sz w:val="18"/>
          <w:szCs w:val="18"/>
          <w:lang w:val="es-ES_tradnl"/>
        </w:rPr>
        <w:t>A continuación se presenta un cuadro resumen con el</w:t>
      </w:r>
      <w:r w:rsidR="006F15FD" w:rsidRPr="00B95749">
        <w:rPr>
          <w:rFonts w:ascii="Verdana" w:hAnsi="Verdana"/>
          <w:sz w:val="18"/>
          <w:szCs w:val="18"/>
          <w:lang w:val="es-ES_tradnl"/>
        </w:rPr>
        <w:t xml:space="preserve"> desglose de lo antes señalado:</w:t>
      </w:r>
    </w:p>
    <w:tbl>
      <w:tblPr>
        <w:tblW w:w="78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63"/>
        <w:gridCol w:w="1780"/>
        <w:gridCol w:w="1263"/>
        <w:gridCol w:w="1880"/>
      </w:tblGrid>
      <w:tr w:rsidR="00100523" w:rsidRPr="00100523" w:rsidTr="00100523">
        <w:trPr>
          <w:trHeight w:val="103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Período Concurso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Cantidad de proyectos Adjudicados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Escuelas artísticas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Cantidad de proyectos Adjudicados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Escuelas en transición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1996 - 2008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893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4.214.456.926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0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2009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303.183.000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130.000.000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2010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341.411.377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98.269.623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313.108.593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141.081.407</w:t>
            </w:r>
          </w:p>
        </w:tc>
      </w:tr>
      <w:tr w:rsidR="00100523" w:rsidRPr="00100523" w:rsidTr="00100523">
        <w:trPr>
          <w:trHeight w:val="69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Totales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1.042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5.172.159.896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0523">
              <w:rPr>
                <w:rFonts w:ascii="Calibri" w:eastAsia="Times New Roman" w:hAnsi="Calibri" w:cs="Calibri"/>
                <w:color w:val="000000"/>
                <w:lang w:eastAsia="es-CL"/>
              </w:rPr>
              <w:t>369.351.030</w:t>
            </w:r>
          </w:p>
        </w:tc>
      </w:tr>
    </w:tbl>
    <w:p w:rsidR="00100523" w:rsidRDefault="00100523" w:rsidP="00B95749">
      <w:pPr>
        <w:ind w:left="-567"/>
        <w:rPr>
          <w:lang w:val="es-ES_tradnl"/>
        </w:rPr>
      </w:pPr>
      <w:r>
        <w:rPr>
          <w:lang w:val="es-ES_tradnl"/>
        </w:rPr>
        <w:t xml:space="preserve"> </w:t>
      </w:r>
    </w:p>
    <w:tbl>
      <w:tblPr>
        <w:tblW w:w="94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640"/>
        <w:gridCol w:w="1580"/>
        <w:gridCol w:w="1740"/>
      </w:tblGrid>
      <w:tr w:rsidR="00100523" w:rsidRPr="00100523" w:rsidTr="00100523">
        <w:trPr>
          <w:trHeight w:val="63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Período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Monto destinado por glosa al concurso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Proyectos adjudicados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1996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$ 222.472.000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31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1997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$ 292.232.000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45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1998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$ 303.363.000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71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1999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$ 309.380.000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74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$ 319.279.399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90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2001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$ 365.500.000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78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2002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$ 375.594.000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84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2003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$ 288.861.682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65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2004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$ 382.546.000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85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2005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$ 306.000.000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73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2006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$ 315.180.000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2007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$ 326.211.000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59</w:t>
            </w:r>
          </w:p>
        </w:tc>
      </w:tr>
      <w:tr w:rsidR="00100523" w:rsidRPr="00100523" w:rsidTr="0010052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2008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407.837.845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69</w:t>
            </w:r>
          </w:p>
        </w:tc>
      </w:tr>
      <w:tr w:rsidR="00100523" w:rsidRPr="00100523" w:rsidTr="00B95749">
        <w:trPr>
          <w:trHeight w:val="43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2009 Tradicional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$ 433.183.000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$ 303.183.000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56</w:t>
            </w:r>
          </w:p>
        </w:tc>
      </w:tr>
      <w:tr w:rsidR="00100523" w:rsidRPr="00100523" w:rsidTr="00B95749">
        <w:trPr>
          <w:trHeight w:val="392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2009 Transición</w:t>
            </w: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$ 130.000.000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10</w:t>
            </w:r>
          </w:p>
        </w:tc>
      </w:tr>
      <w:tr w:rsidR="00100523" w:rsidRPr="00100523" w:rsidTr="00B95749">
        <w:trPr>
          <w:trHeight w:val="396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2010 Tradicional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$ 439.681.000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$ 341.411.377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51</w:t>
            </w:r>
          </w:p>
        </w:tc>
      </w:tr>
      <w:tr w:rsidR="00100523" w:rsidRPr="00100523" w:rsidTr="00B95749">
        <w:trPr>
          <w:trHeight w:val="386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2010 Transición</w:t>
            </w: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$ 98.269.623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9</w:t>
            </w:r>
          </w:p>
        </w:tc>
      </w:tr>
      <w:tr w:rsidR="00100523" w:rsidRPr="00100523" w:rsidTr="00B95749">
        <w:trPr>
          <w:trHeight w:val="57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2011 Con reconocimiento</w:t>
            </w:r>
          </w:p>
        </w:tc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$ 454.190.000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$ 313.108.593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42</w:t>
            </w:r>
          </w:p>
        </w:tc>
      </w:tr>
      <w:tr w:rsidR="00100523" w:rsidRPr="00100523" w:rsidTr="00B95749">
        <w:trPr>
          <w:trHeight w:val="55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2011 Transición o que fomentan el arte y la cultura</w:t>
            </w:r>
          </w:p>
        </w:tc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$ 141.081.407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0523" w:rsidRPr="00100523" w:rsidRDefault="00100523" w:rsidP="0010052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10052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19</w:t>
            </w:r>
          </w:p>
        </w:tc>
      </w:tr>
    </w:tbl>
    <w:p w:rsidR="00B95749" w:rsidRDefault="00B95749" w:rsidP="001D7815">
      <w:pPr>
        <w:rPr>
          <w:lang w:val="es-ES_tradnl"/>
        </w:rPr>
      </w:pPr>
    </w:p>
    <w:p w:rsidR="00845D9D" w:rsidRDefault="00845D9D" w:rsidP="00B95749">
      <w:pPr>
        <w:pStyle w:val="Ttulo1"/>
        <w:rPr>
          <w:rFonts w:ascii="Verdana" w:hAnsi="Verdana"/>
          <w:noProof/>
          <w:sz w:val="28"/>
          <w:szCs w:val="28"/>
          <w:lang w:val="es-ES_tradnl"/>
        </w:rPr>
      </w:pPr>
    </w:p>
    <w:p w:rsidR="00B95749" w:rsidRPr="00B95749" w:rsidRDefault="00100523" w:rsidP="00B95749">
      <w:pPr>
        <w:pStyle w:val="Ttulo1"/>
        <w:rPr>
          <w:rFonts w:ascii="Verdana" w:hAnsi="Verdana"/>
          <w:noProof/>
          <w:sz w:val="28"/>
          <w:szCs w:val="28"/>
          <w:lang w:val="es-ES_tradnl"/>
        </w:rPr>
      </w:pPr>
      <w:r w:rsidRPr="00B95749">
        <w:rPr>
          <w:rFonts w:ascii="Verdana" w:hAnsi="Verdana"/>
          <w:noProof/>
          <w:sz w:val="28"/>
          <w:szCs w:val="28"/>
          <w:lang w:val="es-ES_tradnl"/>
        </w:rPr>
        <w:t>3</w:t>
      </w:r>
      <w:r w:rsidR="00B95749" w:rsidRPr="00B95749">
        <w:rPr>
          <w:rFonts w:ascii="Verdana" w:hAnsi="Verdana"/>
          <w:noProof/>
          <w:sz w:val="28"/>
          <w:szCs w:val="28"/>
          <w:lang w:val="es-ES_tradnl"/>
        </w:rPr>
        <w:t>.</w:t>
      </w:r>
      <w:r w:rsidRPr="00B95749">
        <w:rPr>
          <w:rFonts w:ascii="Verdana" w:hAnsi="Verdana"/>
          <w:noProof/>
          <w:sz w:val="28"/>
          <w:szCs w:val="28"/>
          <w:lang w:val="es-ES_tradnl"/>
        </w:rPr>
        <w:t>Resultados Convocatoria FNEA 2010 - 2011.</w:t>
      </w:r>
    </w:p>
    <w:p w:rsidR="007D2192" w:rsidRPr="00B95749" w:rsidRDefault="007D2192" w:rsidP="007D2192">
      <w:pPr>
        <w:rPr>
          <w:rFonts w:ascii="Verdana" w:hAnsi="Verdana"/>
          <w:noProof/>
          <w:sz w:val="18"/>
          <w:szCs w:val="18"/>
          <w:lang w:val="es-ES_tradnl"/>
        </w:rPr>
      </w:pPr>
      <w:r w:rsidRPr="00B95749">
        <w:rPr>
          <w:rFonts w:ascii="Verdana" w:hAnsi="Verdana"/>
          <w:noProof/>
          <w:sz w:val="18"/>
          <w:szCs w:val="18"/>
          <w:lang w:val="es-ES_tradnl"/>
        </w:rPr>
        <w:t>Los datos que a continuación se expresena representan los montos asignados por región a partir de la cantidad de proyectos declarados como adjudicados.</w:t>
      </w:r>
    </w:p>
    <w:p w:rsidR="00D13A86" w:rsidRPr="00D13A86" w:rsidRDefault="00D13A86" w:rsidP="007D2192">
      <w:pPr>
        <w:rPr>
          <w:noProof/>
          <w:lang w:val="es-ES_tradnl"/>
        </w:rPr>
      </w:pPr>
    </w:p>
    <w:p w:rsidR="00B95749" w:rsidRDefault="007D2192" w:rsidP="00B95749">
      <w:pPr>
        <w:jc w:val="center"/>
        <w:rPr>
          <w:lang w:val="es-ES"/>
        </w:rPr>
      </w:pPr>
      <w:r>
        <w:rPr>
          <w:noProof/>
          <w:lang w:eastAsia="es-CL"/>
        </w:rPr>
        <w:drawing>
          <wp:inline distT="0" distB="0" distL="0" distR="0" wp14:anchorId="0839E384" wp14:editId="2FD9FBCC">
            <wp:extent cx="4457700" cy="28384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867"/>
        <w:tblW w:w="8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099"/>
        <w:gridCol w:w="1244"/>
        <w:gridCol w:w="1362"/>
        <w:gridCol w:w="791"/>
        <w:gridCol w:w="1056"/>
        <w:gridCol w:w="1235"/>
      </w:tblGrid>
      <w:tr w:rsidR="00845D9D" w:rsidRPr="00B677D0" w:rsidTr="00845D9D">
        <w:trPr>
          <w:trHeight w:val="2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Regiones</w:t>
            </w: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2010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Presentados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No admisibles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No adjudicados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Elegibles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Lista espera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Montos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Arica y </w:t>
            </w:r>
            <w:proofErr w:type="spellStart"/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Parinacota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$ 11.375.000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Tarapacá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$ 14.117.036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Antofagasta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$ 34.003.149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Atacama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$ 25.750.666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Coquimbo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$ 47.833.195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Valparaíso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$ 45.848.711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Metropolitana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$ 64.554.180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O´Higgins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$ 6.751.926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Maule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$ 13.580.130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Biobio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$ 96.089.521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Araucanía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$ 21.854.160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Los Ríos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$ 9.008.692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Los Lagos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$ 20.624.396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Aysén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$ 0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Magallanes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$ 28.290.238</w:t>
            </w:r>
          </w:p>
        </w:tc>
      </w:tr>
      <w:tr w:rsidR="00845D9D" w:rsidRPr="00B677D0" w:rsidTr="00845D9D">
        <w:trPr>
          <w:trHeight w:val="24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45D9D" w:rsidRPr="00B677D0" w:rsidRDefault="00845D9D" w:rsidP="00845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$ 439.681.000</w:t>
            </w:r>
          </w:p>
        </w:tc>
      </w:tr>
    </w:tbl>
    <w:p w:rsidR="00845D9D" w:rsidRDefault="00845D9D" w:rsidP="00B95749">
      <w:pPr>
        <w:jc w:val="center"/>
        <w:rPr>
          <w:lang w:val="es-ES"/>
        </w:rPr>
      </w:pPr>
    </w:p>
    <w:p w:rsidR="00845D9D" w:rsidRDefault="00845D9D" w:rsidP="00B95749">
      <w:pPr>
        <w:jc w:val="center"/>
        <w:rPr>
          <w:lang w:val="es-ES"/>
        </w:rPr>
      </w:pPr>
    </w:p>
    <w:p w:rsidR="007D2192" w:rsidRDefault="007D2192" w:rsidP="00B95749">
      <w:pPr>
        <w:jc w:val="center"/>
        <w:rPr>
          <w:lang w:val="es-ES"/>
        </w:rPr>
      </w:pPr>
    </w:p>
    <w:p w:rsidR="001D7815" w:rsidRDefault="001D7815" w:rsidP="001D7815">
      <w:pPr>
        <w:jc w:val="center"/>
        <w:rPr>
          <w:lang w:val="es-ES"/>
        </w:rPr>
      </w:pPr>
    </w:p>
    <w:p w:rsidR="001D7815" w:rsidRDefault="001D7815" w:rsidP="001D7815">
      <w:pPr>
        <w:jc w:val="center"/>
        <w:rPr>
          <w:lang w:val="es-ES"/>
        </w:rPr>
      </w:pPr>
    </w:p>
    <w:p w:rsidR="001D7815" w:rsidRDefault="001D7815" w:rsidP="001D7815">
      <w:pPr>
        <w:jc w:val="center"/>
        <w:rPr>
          <w:lang w:val="es-ES"/>
        </w:rPr>
      </w:pPr>
    </w:p>
    <w:p w:rsidR="001D7815" w:rsidRDefault="001D7815" w:rsidP="001D7815">
      <w:pPr>
        <w:jc w:val="center"/>
        <w:rPr>
          <w:lang w:val="es-ES"/>
        </w:rPr>
      </w:pPr>
    </w:p>
    <w:p w:rsidR="001D7815" w:rsidRDefault="001D7815" w:rsidP="001D7815">
      <w:pPr>
        <w:jc w:val="center"/>
        <w:rPr>
          <w:lang w:val="es-ES"/>
        </w:rPr>
      </w:pPr>
    </w:p>
    <w:p w:rsidR="00B95749" w:rsidRDefault="00B95749" w:rsidP="001D7815">
      <w:pPr>
        <w:jc w:val="center"/>
        <w:rPr>
          <w:lang w:val="es-ES"/>
        </w:rPr>
      </w:pPr>
    </w:p>
    <w:p w:rsidR="00B95749" w:rsidRDefault="00B95749" w:rsidP="001D7815">
      <w:pPr>
        <w:jc w:val="center"/>
        <w:rPr>
          <w:lang w:val="es-ES"/>
        </w:rPr>
      </w:pPr>
    </w:p>
    <w:p w:rsidR="00B95749" w:rsidRDefault="00B95749" w:rsidP="001D7815">
      <w:pPr>
        <w:jc w:val="center"/>
        <w:rPr>
          <w:lang w:val="es-ES"/>
        </w:rPr>
      </w:pPr>
    </w:p>
    <w:p w:rsidR="00B95749" w:rsidRDefault="00B95749" w:rsidP="001D7815">
      <w:pPr>
        <w:jc w:val="center"/>
        <w:rPr>
          <w:lang w:val="es-ES"/>
        </w:rPr>
      </w:pPr>
    </w:p>
    <w:p w:rsidR="00B95749" w:rsidRPr="007D2192" w:rsidRDefault="00B95749" w:rsidP="001D7815">
      <w:pPr>
        <w:jc w:val="center"/>
        <w:rPr>
          <w:lang w:val="es-ES"/>
        </w:rPr>
      </w:pPr>
    </w:p>
    <w:p w:rsidR="007D2192" w:rsidRPr="00E24A38" w:rsidRDefault="007D2192" w:rsidP="007D2192"/>
    <w:p w:rsidR="007D2192" w:rsidRDefault="007D2192" w:rsidP="007D2192">
      <w:pPr>
        <w:rPr>
          <w:lang w:val="es-ES"/>
        </w:rPr>
      </w:pPr>
    </w:p>
    <w:p w:rsidR="007D2192" w:rsidRDefault="007D2192" w:rsidP="007D2192">
      <w:pPr>
        <w:rPr>
          <w:lang w:val="es-ES"/>
        </w:rPr>
      </w:pPr>
    </w:p>
    <w:p w:rsidR="00100523" w:rsidRDefault="00100523" w:rsidP="007D2192">
      <w:pPr>
        <w:rPr>
          <w:lang w:val="es-ES"/>
        </w:rPr>
      </w:pPr>
    </w:p>
    <w:p w:rsidR="00100523" w:rsidRDefault="00845D9D" w:rsidP="00845D9D">
      <w:pPr>
        <w:jc w:val="center"/>
        <w:rPr>
          <w:lang w:val="es-ES"/>
        </w:rPr>
      </w:pPr>
      <w:r>
        <w:rPr>
          <w:noProof/>
          <w:lang w:eastAsia="es-CL"/>
        </w:rPr>
        <w:lastRenderedPageBreak/>
        <w:drawing>
          <wp:inline distT="0" distB="0" distL="0" distR="0" wp14:anchorId="14D40429" wp14:editId="24B05FB4">
            <wp:extent cx="5715000" cy="295275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5749" w:rsidRDefault="00B95749" w:rsidP="001D7815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1D7815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tbl>
      <w:tblPr>
        <w:tblpPr w:leftFromText="141" w:rightFromText="141" w:vertAnchor="text" w:horzAnchor="margin" w:tblpXSpec="center" w:tblpY="-36"/>
        <w:tblW w:w="7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020"/>
        <w:gridCol w:w="1125"/>
        <w:gridCol w:w="890"/>
        <w:gridCol w:w="1148"/>
        <w:gridCol w:w="2075"/>
      </w:tblGrid>
      <w:tr w:rsidR="00B95749" w:rsidRPr="00B677D0" w:rsidTr="00B95749">
        <w:trPr>
          <w:trHeight w:val="270"/>
        </w:trPr>
        <w:tc>
          <w:tcPr>
            <w:tcW w:w="7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95749" w:rsidRPr="00B677D0" w:rsidRDefault="00B95749" w:rsidP="00B95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B677D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2011</w:t>
            </w:r>
          </w:p>
        </w:tc>
      </w:tr>
      <w:tr w:rsidR="00B95749" w:rsidRPr="00B677D0" w:rsidTr="00B95749">
        <w:trPr>
          <w:trHeight w:val="2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5749" w:rsidRPr="00100523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052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Presentados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5749" w:rsidRPr="00100523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052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No admisibles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95749" w:rsidRPr="00100523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052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No adjudicados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5749" w:rsidRPr="00100523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052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Elegibles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95749" w:rsidRPr="00100523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052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Lista espera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95749" w:rsidRPr="00100523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10052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CL"/>
              </w:rPr>
              <w:t>Montos</w:t>
            </w:r>
          </w:p>
        </w:tc>
      </w:tr>
      <w:tr w:rsidR="00B95749" w:rsidRPr="00B677D0" w:rsidTr="00B95749">
        <w:trPr>
          <w:trHeight w:val="273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$ 0</w:t>
            </w:r>
          </w:p>
        </w:tc>
      </w:tr>
      <w:tr w:rsidR="00B95749" w:rsidRPr="00B677D0" w:rsidTr="00B95749">
        <w:trPr>
          <w:trHeight w:val="2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$ 18.156.492</w:t>
            </w:r>
          </w:p>
        </w:tc>
      </w:tr>
      <w:tr w:rsidR="00B95749" w:rsidRPr="00B677D0" w:rsidTr="00B95749">
        <w:trPr>
          <w:trHeight w:val="2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$ 23.415.705</w:t>
            </w:r>
          </w:p>
        </w:tc>
      </w:tr>
      <w:tr w:rsidR="00B95749" w:rsidRPr="00B677D0" w:rsidTr="00B95749">
        <w:trPr>
          <w:trHeight w:val="2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$ 18.999.302</w:t>
            </w:r>
          </w:p>
        </w:tc>
      </w:tr>
      <w:tr w:rsidR="00B95749" w:rsidRPr="00B677D0" w:rsidTr="00B95749">
        <w:trPr>
          <w:trHeight w:val="2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$ 0</w:t>
            </w:r>
          </w:p>
        </w:tc>
      </w:tr>
      <w:tr w:rsidR="00B95749" w:rsidRPr="00B677D0" w:rsidTr="00B95749">
        <w:trPr>
          <w:trHeight w:val="2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$ 26.626.486</w:t>
            </w:r>
          </w:p>
        </w:tc>
      </w:tr>
      <w:tr w:rsidR="00B95749" w:rsidRPr="00B677D0" w:rsidTr="00B95749">
        <w:trPr>
          <w:trHeight w:val="2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$ 35.810.741</w:t>
            </w:r>
          </w:p>
        </w:tc>
      </w:tr>
      <w:tr w:rsidR="00B95749" w:rsidRPr="00B677D0" w:rsidTr="00B95749">
        <w:trPr>
          <w:trHeight w:val="2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$ 10.908.049</w:t>
            </w:r>
          </w:p>
        </w:tc>
      </w:tr>
      <w:tr w:rsidR="00B95749" w:rsidRPr="00B677D0" w:rsidTr="00B95749">
        <w:trPr>
          <w:trHeight w:val="2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</w:tr>
      <w:tr w:rsidR="00B95749" w:rsidRPr="00B677D0" w:rsidTr="00B95749">
        <w:trPr>
          <w:trHeight w:val="2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$ 141.470.438</w:t>
            </w:r>
          </w:p>
        </w:tc>
      </w:tr>
      <w:tr w:rsidR="00B95749" w:rsidRPr="00B677D0" w:rsidTr="00B95749">
        <w:trPr>
          <w:trHeight w:val="2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$ 36.669.038</w:t>
            </w:r>
          </w:p>
        </w:tc>
      </w:tr>
      <w:tr w:rsidR="00B95749" w:rsidRPr="00B677D0" w:rsidTr="00B95749">
        <w:trPr>
          <w:trHeight w:val="2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$ 26.833.138</w:t>
            </w:r>
          </w:p>
        </w:tc>
      </w:tr>
      <w:tr w:rsidR="00B95749" w:rsidRPr="00B677D0" w:rsidTr="00B95749">
        <w:trPr>
          <w:trHeight w:val="2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$ 17.594.266</w:t>
            </w:r>
          </w:p>
        </w:tc>
      </w:tr>
      <w:tr w:rsidR="00B95749" w:rsidRPr="00B677D0" w:rsidTr="00B95749">
        <w:trPr>
          <w:trHeight w:val="2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$ 11.271.964</w:t>
            </w:r>
          </w:p>
        </w:tc>
      </w:tr>
      <w:tr w:rsidR="00B95749" w:rsidRPr="00B677D0" w:rsidTr="00B95749">
        <w:trPr>
          <w:trHeight w:val="2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$ 14.870.780</w:t>
            </w:r>
          </w:p>
        </w:tc>
      </w:tr>
      <w:tr w:rsidR="00B95749" w:rsidRPr="00B677D0" w:rsidTr="00B95749">
        <w:trPr>
          <w:trHeight w:val="27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95749" w:rsidRPr="001D7815" w:rsidRDefault="00B95749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1D7815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95749" w:rsidRPr="001D7815" w:rsidRDefault="00DB67E1" w:rsidP="00B95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$ 454.190.000</w:t>
            </w:r>
          </w:p>
        </w:tc>
      </w:tr>
    </w:tbl>
    <w:p w:rsidR="00B95749" w:rsidRDefault="00B95749" w:rsidP="001D7815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1D7815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1D7815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1D7815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1D7815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1D7815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1D7815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1D7815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1D7815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1D7815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1D7815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1D7815">
      <w:pPr>
        <w:pStyle w:val="Ttulo1"/>
        <w:rPr>
          <w:rFonts w:ascii="Verdana" w:hAnsi="Verdana"/>
          <w:noProof/>
          <w:sz w:val="36"/>
          <w:szCs w:val="36"/>
          <w:lang w:val="es-ES_tradnl"/>
        </w:rPr>
      </w:pPr>
    </w:p>
    <w:p w:rsidR="00B95749" w:rsidRDefault="00B95749" w:rsidP="00B95749">
      <w:pPr>
        <w:rPr>
          <w:lang w:val="es-ES_tradnl" w:eastAsia="zh-TW"/>
        </w:rPr>
      </w:pPr>
    </w:p>
    <w:p w:rsidR="00B95749" w:rsidRDefault="00B95749" w:rsidP="00B95749">
      <w:pPr>
        <w:rPr>
          <w:lang w:val="es-ES_tradnl" w:eastAsia="zh-TW"/>
        </w:rPr>
      </w:pPr>
    </w:p>
    <w:p w:rsidR="00B95749" w:rsidRDefault="00B95749" w:rsidP="00B95749">
      <w:pPr>
        <w:rPr>
          <w:lang w:val="es-ES_tradnl" w:eastAsia="zh-TW"/>
        </w:rPr>
      </w:pPr>
    </w:p>
    <w:p w:rsidR="00B95749" w:rsidRDefault="00B95749" w:rsidP="00B95749">
      <w:pPr>
        <w:rPr>
          <w:lang w:val="es-ES_tradnl" w:eastAsia="zh-TW"/>
        </w:rPr>
      </w:pPr>
    </w:p>
    <w:p w:rsidR="00B95749" w:rsidRPr="00B95749" w:rsidRDefault="00B95749" w:rsidP="00B95749">
      <w:pPr>
        <w:rPr>
          <w:lang w:val="es-ES_tradnl" w:eastAsia="zh-TW"/>
        </w:rPr>
      </w:pPr>
    </w:p>
    <w:p w:rsidR="001D7815" w:rsidRPr="00845D9D" w:rsidRDefault="00845D9D" w:rsidP="001D7815">
      <w:pPr>
        <w:pStyle w:val="Ttulo1"/>
        <w:rPr>
          <w:rFonts w:ascii="Verdana" w:hAnsi="Verdana"/>
          <w:noProof/>
          <w:sz w:val="28"/>
          <w:szCs w:val="28"/>
          <w:lang w:val="es-ES_tradnl"/>
        </w:rPr>
      </w:pPr>
      <w:r w:rsidRPr="00845D9D">
        <w:rPr>
          <w:rFonts w:ascii="Verdana" w:hAnsi="Verdana"/>
          <w:noProof/>
          <w:sz w:val="28"/>
          <w:szCs w:val="28"/>
          <w:lang w:val="es-ES_tradnl"/>
        </w:rPr>
        <w:lastRenderedPageBreak/>
        <w:t>4</w:t>
      </w:r>
      <w:r w:rsidR="001D7815" w:rsidRPr="00845D9D">
        <w:rPr>
          <w:rFonts w:ascii="Verdana" w:hAnsi="Verdana"/>
          <w:noProof/>
          <w:sz w:val="28"/>
          <w:szCs w:val="28"/>
          <w:lang w:val="es-ES_tradnl"/>
        </w:rPr>
        <w:t>.- Resultados FAE 2012 – 2013</w:t>
      </w:r>
    </w:p>
    <w:bookmarkStart w:id="0" w:name="_Toc309824255" w:displacedByCustomXml="next"/>
    <w:sdt>
      <w:sdtPr>
        <w:rPr>
          <w:rFonts w:ascii="Verdana" w:hAnsi="Verdana"/>
          <w:noProof/>
          <w:sz w:val="18"/>
          <w:szCs w:val="18"/>
          <w:lang w:val="es-ES_tradnl"/>
        </w:rPr>
        <w:id w:val="-1024861528"/>
        <w:text/>
      </w:sdtPr>
      <w:sdtEndPr/>
      <w:sdtContent>
        <w:p w:rsidR="001D7815" w:rsidRPr="00B95749" w:rsidRDefault="001D7815" w:rsidP="001D7815">
          <w:pPr>
            <w:pStyle w:val="Ttulo2"/>
            <w:rPr>
              <w:rFonts w:ascii="Verdana" w:hAnsi="Verdana"/>
              <w:noProof/>
              <w:sz w:val="18"/>
              <w:szCs w:val="18"/>
              <w:lang w:val="es-ES_tradnl"/>
            </w:rPr>
          </w:pPr>
          <w:r w:rsidRPr="00B95749">
            <w:rPr>
              <w:rFonts w:ascii="Verdana" w:hAnsi="Verdana"/>
              <w:noProof/>
              <w:sz w:val="18"/>
              <w:szCs w:val="18"/>
            </w:rPr>
            <w:t>Fondo de Fomento al Arte en la Educación</w:t>
          </w:r>
        </w:p>
      </w:sdtContent>
    </w:sdt>
    <w:bookmarkEnd w:id="0" w:displacedByCustomXml="prev"/>
    <w:p w:rsidR="00DB67E1" w:rsidRDefault="00DB67E1" w:rsidP="001D7815">
      <w:pPr>
        <w:rPr>
          <w:noProof/>
          <w:lang w:val="es-ES_tradnl"/>
        </w:rPr>
      </w:pPr>
      <w:r w:rsidRPr="00B95749">
        <w:rPr>
          <w:rFonts w:ascii="Verdana" w:hAnsi="Verdana"/>
          <w:sz w:val="18"/>
          <w:szCs w:val="18"/>
          <w:lang w:val="es-ES_tradnl"/>
        </w:rPr>
        <w:t>A continuación se presenta un cuadro resumen con el</w:t>
      </w:r>
      <w:r>
        <w:rPr>
          <w:rFonts w:ascii="Verdana" w:hAnsi="Verdana"/>
          <w:sz w:val="18"/>
          <w:szCs w:val="18"/>
          <w:lang w:val="es-ES_tradnl"/>
        </w:rPr>
        <w:t xml:space="preserve"> desglose:</w:t>
      </w:r>
    </w:p>
    <w:tbl>
      <w:tblPr>
        <w:tblW w:w="62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540"/>
        <w:gridCol w:w="1540"/>
      </w:tblGrid>
      <w:tr w:rsidR="00DB67E1" w:rsidRPr="00DB67E1" w:rsidTr="00DB67E1">
        <w:trPr>
          <w:trHeight w:val="4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B67E1" w:rsidRPr="00DB67E1" w:rsidRDefault="00DB67E1" w:rsidP="00DB67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DB67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Período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B67E1" w:rsidRPr="00DB67E1" w:rsidRDefault="00DB67E1" w:rsidP="00DB67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DB67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Monto destinado por glosa al concurso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B67E1" w:rsidRPr="00DB67E1" w:rsidRDefault="00DB67E1" w:rsidP="00DB67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DB67E1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CL"/>
              </w:rPr>
              <w:t>Proyectos adjudicados</w:t>
            </w:r>
          </w:p>
        </w:tc>
      </w:tr>
      <w:tr w:rsidR="00DB67E1" w:rsidRPr="00DB67E1" w:rsidTr="00DB67E1">
        <w:trPr>
          <w:trHeight w:val="6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E1" w:rsidRPr="00DB67E1" w:rsidRDefault="00DB67E1" w:rsidP="00DB67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DB67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2012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7E1" w:rsidRPr="00DB67E1" w:rsidRDefault="00DB67E1" w:rsidP="00DB67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DB67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$ 466.907.000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E1" w:rsidRPr="00DB67E1" w:rsidRDefault="00DB67E1" w:rsidP="00DB67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DB67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64</w:t>
            </w:r>
          </w:p>
        </w:tc>
      </w:tr>
      <w:tr w:rsidR="00DB67E1" w:rsidRPr="00DB67E1" w:rsidTr="00DB67E1">
        <w:trPr>
          <w:trHeight w:val="61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E1" w:rsidRPr="00DB67E1" w:rsidRDefault="00DB67E1" w:rsidP="00DB67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DB67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2013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7E1" w:rsidRPr="00DB67E1" w:rsidRDefault="00DB67E1" w:rsidP="00DB67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DB67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$ 480.477.000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7E1" w:rsidRPr="00DB67E1" w:rsidRDefault="00DB67E1" w:rsidP="00DB67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</w:pPr>
            <w:r w:rsidRPr="00DB67E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CL"/>
              </w:rPr>
              <w:t>63</w:t>
            </w:r>
          </w:p>
        </w:tc>
      </w:tr>
    </w:tbl>
    <w:p w:rsidR="00DB67E1" w:rsidRDefault="00DB67E1" w:rsidP="001D7815">
      <w:pPr>
        <w:rPr>
          <w:noProof/>
          <w:lang w:val="es-ES_tradnl"/>
        </w:rPr>
      </w:pPr>
    </w:p>
    <w:p w:rsidR="00DB67E1" w:rsidRDefault="00DB67E1" w:rsidP="00DB67E1">
      <w:pPr>
        <w:rPr>
          <w:noProof/>
          <w:lang w:val="es-ES_tradnl"/>
        </w:rPr>
      </w:pPr>
      <w:r>
        <w:rPr>
          <w:noProof/>
          <w:lang w:val="es-ES_tradnl"/>
        </w:rPr>
        <w:t>En la convocatoria 2012 existierón 2 versiones del concurso debido a excedentes que se generaron por no adjudicación de proyectos seleccionados.</w:t>
      </w:r>
    </w:p>
    <w:tbl>
      <w:tblPr>
        <w:tblpPr w:leftFromText="141" w:rightFromText="141" w:vertAnchor="text" w:horzAnchor="margin" w:tblpY="5395"/>
        <w:tblW w:w="10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8"/>
        <w:gridCol w:w="1026"/>
        <w:gridCol w:w="847"/>
        <w:gridCol w:w="939"/>
        <w:gridCol w:w="723"/>
        <w:gridCol w:w="492"/>
        <w:gridCol w:w="529"/>
        <w:gridCol w:w="963"/>
        <w:gridCol w:w="858"/>
        <w:gridCol w:w="939"/>
        <w:gridCol w:w="723"/>
        <w:gridCol w:w="1156"/>
      </w:tblGrid>
      <w:tr w:rsidR="00DB67E1" w:rsidRPr="00427D36" w:rsidTr="00DB67E1">
        <w:trPr>
          <w:trHeight w:val="28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Regiones</w:t>
            </w:r>
          </w:p>
        </w:tc>
        <w:tc>
          <w:tcPr>
            <w:tcW w:w="4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2012 (primera convocatoria)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2012 (segunda convocatoria)</w:t>
            </w:r>
          </w:p>
        </w:tc>
      </w:tr>
      <w:tr w:rsidR="00DB67E1" w:rsidRPr="00427D36" w:rsidTr="00DB67E1">
        <w:trPr>
          <w:trHeight w:val="28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Presentados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No admisibles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No adjudicados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Elegibles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Montos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Presentados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No admisibles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No adjudicados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Elegibles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Montos</w:t>
            </w:r>
          </w:p>
        </w:tc>
      </w:tr>
      <w:tr w:rsidR="00DB67E1" w:rsidRPr="00427D36" w:rsidTr="00DB67E1">
        <w:trPr>
          <w:trHeight w:val="28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ind w:right="355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Arica y </w:t>
            </w:r>
            <w:proofErr w:type="spellStart"/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Parinacota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$ 9.956.313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$ 0</w:t>
            </w:r>
          </w:p>
        </w:tc>
      </w:tr>
      <w:tr w:rsidR="00DB67E1" w:rsidRPr="00427D36" w:rsidTr="00DB67E1">
        <w:trPr>
          <w:trHeight w:val="28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ind w:right="355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Tarapacá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$ 18.328.816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$ 7.614.514</w:t>
            </w:r>
          </w:p>
        </w:tc>
      </w:tr>
      <w:tr w:rsidR="00DB67E1" w:rsidRPr="00427D36" w:rsidTr="00DB67E1">
        <w:trPr>
          <w:trHeight w:val="28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ind w:right="355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Antofagasta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$ 4.584.739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$ 0</w:t>
            </w:r>
          </w:p>
        </w:tc>
      </w:tr>
      <w:tr w:rsidR="00DB67E1" w:rsidRPr="00427D36" w:rsidTr="00DB67E1">
        <w:trPr>
          <w:trHeight w:val="28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ind w:right="355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Atacama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$ 6.553.318</w:t>
            </w:r>
          </w:p>
        </w:tc>
      </w:tr>
      <w:tr w:rsidR="00DB67E1" w:rsidRPr="00427D36" w:rsidTr="00DB67E1">
        <w:trPr>
          <w:trHeight w:val="29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ind w:right="355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Coquimbo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6/5*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$ 37.933.448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$ 0</w:t>
            </w:r>
          </w:p>
        </w:tc>
      </w:tr>
      <w:tr w:rsidR="00DB67E1" w:rsidRPr="00427D36" w:rsidTr="00DB67E1">
        <w:trPr>
          <w:trHeight w:val="28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ind w:right="355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Valparaíso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10/9*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$ 71.474.160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$ 2.323.200</w:t>
            </w:r>
          </w:p>
        </w:tc>
      </w:tr>
      <w:tr w:rsidR="00DB67E1" w:rsidRPr="00427D36" w:rsidTr="00DB67E1">
        <w:trPr>
          <w:trHeight w:val="28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ind w:right="355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Metropolitana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11/10*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$ 80.128.461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$ 7.279.792</w:t>
            </w:r>
          </w:p>
        </w:tc>
      </w:tr>
      <w:tr w:rsidR="00DB67E1" w:rsidRPr="00427D36" w:rsidTr="00DB67E1">
        <w:trPr>
          <w:trHeight w:val="28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ind w:right="355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O´Higgins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$ 0</w:t>
            </w:r>
          </w:p>
        </w:tc>
      </w:tr>
      <w:tr w:rsidR="00DB67E1" w:rsidRPr="00427D36" w:rsidTr="00DB67E1">
        <w:trPr>
          <w:trHeight w:val="28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ind w:right="355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Maule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$ 0</w:t>
            </w:r>
          </w:p>
        </w:tc>
      </w:tr>
      <w:tr w:rsidR="00DB67E1" w:rsidRPr="00427D36" w:rsidTr="00DB67E1">
        <w:trPr>
          <w:trHeight w:val="246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ind w:right="355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Biobio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$ 103.757.799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$ 2.000.000</w:t>
            </w:r>
          </w:p>
        </w:tc>
      </w:tr>
      <w:tr w:rsidR="00DB67E1" w:rsidRPr="00427D36" w:rsidTr="00DB67E1">
        <w:trPr>
          <w:trHeight w:val="28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ind w:right="355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Araucanía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$ 16.364.582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$ 0</w:t>
            </w:r>
          </w:p>
        </w:tc>
      </w:tr>
      <w:tr w:rsidR="00DB67E1" w:rsidRPr="00427D36" w:rsidTr="00DB67E1">
        <w:trPr>
          <w:trHeight w:val="28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ind w:right="355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Los Ríos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6/5*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$ 36.123.491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$ 0</w:t>
            </w:r>
          </w:p>
        </w:tc>
      </w:tr>
      <w:tr w:rsidR="00DB67E1" w:rsidRPr="00427D36" w:rsidTr="00DB67E1">
        <w:trPr>
          <w:trHeight w:val="28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ind w:right="355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Los Lagos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$ 27.424.499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$ 0</w:t>
            </w:r>
          </w:p>
        </w:tc>
      </w:tr>
      <w:tr w:rsidR="00DB67E1" w:rsidRPr="00427D36" w:rsidTr="00DB67E1">
        <w:trPr>
          <w:trHeight w:val="28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ind w:right="355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Aysén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$ 13.295.820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$ 0</w:t>
            </w:r>
          </w:p>
        </w:tc>
      </w:tr>
      <w:tr w:rsidR="00DB67E1" w:rsidRPr="00427D36" w:rsidTr="00DB67E1">
        <w:trPr>
          <w:trHeight w:val="28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ind w:right="355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Magallanes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$ 21.764.048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$ 0</w:t>
            </w:r>
          </w:p>
        </w:tc>
      </w:tr>
      <w:tr w:rsidR="00DB67E1" w:rsidRPr="00427D36" w:rsidTr="00DB67E1">
        <w:trPr>
          <w:trHeight w:val="28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62/59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$ 441.136.176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$ 25.770.824</w:t>
            </w:r>
          </w:p>
        </w:tc>
      </w:tr>
      <w:tr w:rsidR="00DB67E1" w:rsidRPr="00450320" w:rsidTr="00DB67E1">
        <w:trPr>
          <w:trHeight w:val="280"/>
        </w:trPr>
        <w:tc>
          <w:tcPr>
            <w:tcW w:w="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TOTALES: 59 comunas/ 83 establecimientos/ $441.136.176.-/ 59 proyectos adjudicados</w:t>
            </w:r>
          </w:p>
        </w:tc>
        <w:tc>
          <w:tcPr>
            <w:tcW w:w="4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67E1" w:rsidRPr="00427D36" w:rsidRDefault="00DB67E1" w:rsidP="00DB67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TOTALES: 5 comunas/5 establecimientos/ $25.770.824.-/ 5 </w:t>
            </w:r>
            <w:proofErr w:type="spellStart"/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proy</w:t>
            </w:r>
            <w:proofErr w:type="spellEnd"/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. </w:t>
            </w:r>
            <w:proofErr w:type="spellStart"/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Adj</w:t>
            </w:r>
            <w:proofErr w:type="spellEnd"/>
            <w:r w:rsidRPr="00427D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.</w:t>
            </w:r>
          </w:p>
        </w:tc>
      </w:tr>
    </w:tbl>
    <w:p w:rsidR="001D7815" w:rsidRDefault="00DB67E1" w:rsidP="00DB67E1">
      <w:pPr>
        <w:jc w:val="center"/>
        <w:rPr>
          <w:noProof/>
          <w:lang w:val="es-ES_tradnl"/>
        </w:rPr>
      </w:pPr>
      <w:r>
        <w:rPr>
          <w:noProof/>
          <w:lang w:eastAsia="es-CL"/>
        </w:rPr>
        <w:drawing>
          <wp:inline distT="0" distB="0" distL="0" distR="0" wp14:anchorId="6C056082" wp14:editId="25543D03">
            <wp:extent cx="4857750" cy="304800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5749" w:rsidRDefault="00845D9D" w:rsidP="00845D9D">
      <w:pPr>
        <w:jc w:val="center"/>
        <w:rPr>
          <w:lang w:val="es-ES_tradnl" w:eastAsia="zh-TW"/>
        </w:rPr>
      </w:pPr>
      <w:r>
        <w:rPr>
          <w:noProof/>
          <w:lang w:eastAsia="es-CL"/>
        </w:rPr>
        <w:lastRenderedPageBreak/>
        <w:drawing>
          <wp:inline distT="0" distB="0" distL="0" distR="0" wp14:anchorId="5F6D4B2A" wp14:editId="7EE97FBE">
            <wp:extent cx="4886325" cy="3181350"/>
            <wp:effectExtent l="0" t="0" r="9525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15FD" w:rsidRDefault="006F15FD" w:rsidP="001D7815">
      <w:pPr>
        <w:rPr>
          <w:lang w:val="es-ES_tradnl" w:eastAsia="zh-TW"/>
        </w:rPr>
      </w:pPr>
    </w:p>
    <w:p w:rsidR="00100523" w:rsidRDefault="00100523" w:rsidP="007D2192">
      <w:pPr>
        <w:rPr>
          <w:lang w:val="es-ES"/>
        </w:rPr>
      </w:pPr>
    </w:p>
    <w:tbl>
      <w:tblPr>
        <w:tblW w:w="872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476"/>
        <w:gridCol w:w="1033"/>
        <w:gridCol w:w="1033"/>
        <w:gridCol w:w="1033"/>
        <w:gridCol w:w="886"/>
        <w:gridCol w:w="1919"/>
      </w:tblGrid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Regiones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2013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Presentados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No admisibles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No adjudicados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Elegibles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Lista espera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Montos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Arica y </w:t>
            </w:r>
            <w:proofErr w:type="spellStart"/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Parinacota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$ 0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Tarapacá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$ 5.635.837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Antofagasta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$ 30.541.267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Atacama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$ 19.287.360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Coquimbo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$ 38.247.931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Valparaíso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$ 73.560.149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Metropolitana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$ 79.273.500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O´Higgins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$ 46.525.155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Maule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$ 3.843.508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Biobio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$ 61.300.496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Araucanía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$ 6.610.015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Los Ríos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$ 31.172.830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Los Lagos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$ 32.497.252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Aysén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$ 13.220.677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Magallanes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$ 38.731.023</w:t>
            </w:r>
          </w:p>
        </w:tc>
      </w:tr>
      <w:tr w:rsidR="006F15FD" w:rsidRPr="000B578E" w:rsidTr="00845D9D">
        <w:trPr>
          <w:trHeight w:val="27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303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85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155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$ 480.447.000</w:t>
            </w:r>
          </w:p>
        </w:tc>
      </w:tr>
      <w:tr w:rsidR="006F15FD" w:rsidRPr="00450320" w:rsidTr="00845D9D">
        <w:trPr>
          <w:trHeight w:val="279"/>
          <w:jc w:val="center"/>
        </w:trPr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6F15FD" w:rsidRPr="000B578E" w:rsidRDefault="006F15FD" w:rsidP="006F1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0B578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TOTALES: 50 comunas / 56 establecimientos / $480.447.000.- / 63 proyectos adjudicados</w:t>
            </w:r>
          </w:p>
        </w:tc>
      </w:tr>
    </w:tbl>
    <w:p w:rsidR="006F15FD" w:rsidRPr="006F15FD" w:rsidRDefault="006F15FD" w:rsidP="007D2192"/>
    <w:p w:rsidR="00100523" w:rsidRPr="007D2192" w:rsidRDefault="00100523" w:rsidP="007D2192">
      <w:pPr>
        <w:rPr>
          <w:lang w:val="es-ES"/>
        </w:rPr>
      </w:pPr>
      <w:r>
        <w:rPr>
          <w:lang w:val="es-ES"/>
        </w:rPr>
        <w:t xml:space="preserve">   </w:t>
      </w:r>
    </w:p>
    <w:p w:rsidR="00100523" w:rsidRDefault="00100523" w:rsidP="001D7815">
      <w:pPr>
        <w:jc w:val="center"/>
        <w:rPr>
          <w:lang w:val="es-ES"/>
        </w:rPr>
      </w:pPr>
    </w:p>
    <w:p w:rsidR="00845D9D" w:rsidRDefault="00845D9D" w:rsidP="001D7815">
      <w:pPr>
        <w:jc w:val="center"/>
        <w:rPr>
          <w:lang w:val="es-ES"/>
        </w:rPr>
      </w:pPr>
    </w:p>
    <w:p w:rsidR="00845D9D" w:rsidRDefault="00845D9D" w:rsidP="001D7815">
      <w:pPr>
        <w:jc w:val="center"/>
        <w:rPr>
          <w:lang w:val="es-ES"/>
        </w:rPr>
      </w:pPr>
    </w:p>
    <w:p w:rsidR="00845D9D" w:rsidRDefault="00845D9D" w:rsidP="001D7815">
      <w:pPr>
        <w:jc w:val="center"/>
        <w:rPr>
          <w:lang w:val="es-ES"/>
        </w:rPr>
      </w:pPr>
      <w:bookmarkStart w:id="1" w:name="_GoBack"/>
      <w:bookmarkEnd w:id="1"/>
    </w:p>
    <w:p w:rsidR="00845D9D" w:rsidRDefault="00845D9D" w:rsidP="001D7815">
      <w:pPr>
        <w:jc w:val="center"/>
        <w:rPr>
          <w:lang w:val="es-ES"/>
        </w:rPr>
      </w:pPr>
    </w:p>
    <w:p w:rsidR="00845D9D" w:rsidRPr="007D2192" w:rsidRDefault="00845D9D" w:rsidP="00845D9D">
      <w:pPr>
        <w:rPr>
          <w:lang w:val="es-ES"/>
        </w:rPr>
      </w:pPr>
    </w:p>
    <w:sectPr w:rsidR="00845D9D" w:rsidRPr="007D2192" w:rsidSect="00E24A38">
      <w:pgSz w:w="12242" w:h="18722" w:code="281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29" w:rsidRDefault="00F82F29" w:rsidP="007D2192">
      <w:pPr>
        <w:spacing w:after="0" w:line="240" w:lineRule="auto"/>
      </w:pPr>
      <w:r>
        <w:separator/>
      </w:r>
    </w:p>
  </w:endnote>
  <w:endnote w:type="continuationSeparator" w:id="0">
    <w:p w:rsidR="00F82F29" w:rsidRDefault="00F82F29" w:rsidP="007D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29" w:rsidRDefault="00F82F29" w:rsidP="007D2192">
      <w:pPr>
        <w:spacing w:after="0" w:line="240" w:lineRule="auto"/>
      </w:pPr>
      <w:r>
        <w:separator/>
      </w:r>
    </w:p>
  </w:footnote>
  <w:footnote w:type="continuationSeparator" w:id="0">
    <w:p w:rsidR="00F82F29" w:rsidRDefault="00F82F29" w:rsidP="007D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407B3"/>
    <w:multiLevelType w:val="hybridMultilevel"/>
    <w:tmpl w:val="771495BA"/>
    <w:lvl w:ilvl="0" w:tplc="A0F0BC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92"/>
    <w:rsid w:val="00100523"/>
    <w:rsid w:val="00133913"/>
    <w:rsid w:val="001D7815"/>
    <w:rsid w:val="00391B3F"/>
    <w:rsid w:val="006F15FD"/>
    <w:rsid w:val="007D2192"/>
    <w:rsid w:val="00845D9D"/>
    <w:rsid w:val="00B95749"/>
    <w:rsid w:val="00D04C51"/>
    <w:rsid w:val="00D13A86"/>
    <w:rsid w:val="00D96ADF"/>
    <w:rsid w:val="00DB67E1"/>
    <w:rsid w:val="00DF2A33"/>
    <w:rsid w:val="00E24A38"/>
    <w:rsid w:val="00F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2192"/>
    <w:pPr>
      <w:spacing w:before="160" w:after="0" w:line="240" w:lineRule="auto"/>
      <w:outlineLvl w:val="0"/>
    </w:pPr>
    <w:rPr>
      <w:rFonts w:asciiTheme="majorHAnsi" w:hAnsiTheme="majorHAnsi"/>
      <w:color w:val="4F81BD" w:themeColor="accent1"/>
      <w:sz w:val="48"/>
      <w:szCs w:val="48"/>
      <w:lang w:val="en-US" w:eastAsia="zh-TW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2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192"/>
  </w:style>
  <w:style w:type="paragraph" w:styleId="Piedepgina">
    <w:name w:val="footer"/>
    <w:basedOn w:val="Normal"/>
    <w:link w:val="PiedepginaCar"/>
    <w:uiPriority w:val="99"/>
    <w:unhideWhenUsed/>
    <w:rsid w:val="007D2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192"/>
  </w:style>
  <w:style w:type="paragraph" w:styleId="Textodeglobo">
    <w:name w:val="Balloon Text"/>
    <w:basedOn w:val="Normal"/>
    <w:link w:val="TextodegloboCar"/>
    <w:uiPriority w:val="99"/>
    <w:semiHidden/>
    <w:unhideWhenUsed/>
    <w:rsid w:val="007D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192"/>
    <w:rPr>
      <w:rFonts w:ascii="Tahoma" w:hAnsi="Tahoma" w:cs="Tahoma"/>
      <w:sz w:val="16"/>
      <w:szCs w:val="16"/>
    </w:rPr>
  </w:style>
  <w:style w:type="paragraph" w:customStyle="1" w:styleId="CompanyInfo">
    <w:name w:val="Company Info"/>
    <w:basedOn w:val="Normal"/>
    <w:qFormat/>
    <w:rsid w:val="007D2192"/>
    <w:pPr>
      <w:spacing w:before="300" w:after="0" w:line="360" w:lineRule="auto"/>
      <w:contextualSpacing/>
      <w:jc w:val="center"/>
    </w:pPr>
    <w:rPr>
      <w:color w:val="7F7F7F" w:themeColor="text1" w:themeTint="80"/>
      <w:sz w:val="20"/>
      <w:szCs w:val="18"/>
      <w:lang w:val="en-US" w:eastAsia="zh-TW"/>
    </w:rPr>
  </w:style>
  <w:style w:type="character" w:customStyle="1" w:styleId="Ttulo1Car">
    <w:name w:val="Título 1 Car"/>
    <w:basedOn w:val="Fuentedeprrafopredeter"/>
    <w:link w:val="Ttulo1"/>
    <w:uiPriority w:val="9"/>
    <w:rsid w:val="007D2192"/>
    <w:rPr>
      <w:rFonts w:asciiTheme="majorHAnsi" w:hAnsiTheme="majorHAnsi"/>
      <w:color w:val="4F81BD" w:themeColor="accent1"/>
      <w:sz w:val="48"/>
      <w:szCs w:val="48"/>
      <w:lang w:val="en-US" w:eastAsia="zh-TW"/>
    </w:rPr>
  </w:style>
  <w:style w:type="character" w:customStyle="1" w:styleId="Ttulo2Car">
    <w:name w:val="Título 2 Car"/>
    <w:basedOn w:val="Fuentedeprrafopredeter"/>
    <w:link w:val="Ttulo2"/>
    <w:uiPriority w:val="9"/>
    <w:rsid w:val="007D2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2192"/>
    <w:pPr>
      <w:spacing w:before="160" w:after="0" w:line="240" w:lineRule="auto"/>
      <w:outlineLvl w:val="0"/>
    </w:pPr>
    <w:rPr>
      <w:rFonts w:asciiTheme="majorHAnsi" w:hAnsiTheme="majorHAnsi"/>
      <w:color w:val="4F81BD" w:themeColor="accent1"/>
      <w:sz w:val="48"/>
      <w:szCs w:val="48"/>
      <w:lang w:val="en-US" w:eastAsia="zh-TW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2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192"/>
  </w:style>
  <w:style w:type="paragraph" w:styleId="Piedepgina">
    <w:name w:val="footer"/>
    <w:basedOn w:val="Normal"/>
    <w:link w:val="PiedepginaCar"/>
    <w:uiPriority w:val="99"/>
    <w:unhideWhenUsed/>
    <w:rsid w:val="007D2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192"/>
  </w:style>
  <w:style w:type="paragraph" w:styleId="Textodeglobo">
    <w:name w:val="Balloon Text"/>
    <w:basedOn w:val="Normal"/>
    <w:link w:val="TextodegloboCar"/>
    <w:uiPriority w:val="99"/>
    <w:semiHidden/>
    <w:unhideWhenUsed/>
    <w:rsid w:val="007D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192"/>
    <w:rPr>
      <w:rFonts w:ascii="Tahoma" w:hAnsi="Tahoma" w:cs="Tahoma"/>
      <w:sz w:val="16"/>
      <w:szCs w:val="16"/>
    </w:rPr>
  </w:style>
  <w:style w:type="paragraph" w:customStyle="1" w:styleId="CompanyInfo">
    <w:name w:val="Company Info"/>
    <w:basedOn w:val="Normal"/>
    <w:qFormat/>
    <w:rsid w:val="007D2192"/>
    <w:pPr>
      <w:spacing w:before="300" w:after="0" w:line="360" w:lineRule="auto"/>
      <w:contextualSpacing/>
      <w:jc w:val="center"/>
    </w:pPr>
    <w:rPr>
      <w:color w:val="7F7F7F" w:themeColor="text1" w:themeTint="80"/>
      <w:sz w:val="20"/>
      <w:szCs w:val="18"/>
      <w:lang w:val="en-US" w:eastAsia="zh-TW"/>
    </w:rPr>
  </w:style>
  <w:style w:type="character" w:customStyle="1" w:styleId="Ttulo1Car">
    <w:name w:val="Título 1 Car"/>
    <w:basedOn w:val="Fuentedeprrafopredeter"/>
    <w:link w:val="Ttulo1"/>
    <w:uiPriority w:val="9"/>
    <w:rsid w:val="007D2192"/>
    <w:rPr>
      <w:rFonts w:asciiTheme="majorHAnsi" w:hAnsiTheme="majorHAnsi"/>
      <w:color w:val="4F81BD" w:themeColor="accent1"/>
      <w:sz w:val="48"/>
      <w:szCs w:val="48"/>
      <w:lang w:val="en-US" w:eastAsia="zh-TW"/>
    </w:rPr>
  </w:style>
  <w:style w:type="character" w:customStyle="1" w:styleId="Ttulo2Car">
    <w:name w:val="Título 2 Car"/>
    <w:basedOn w:val="Fuentedeprrafopredeter"/>
    <w:link w:val="Ttulo2"/>
    <w:uiPriority w:val="9"/>
    <w:rsid w:val="007D2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FNEA 2010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Hoja1!$B$3:$B$17</c:f>
              <c:strCache>
                <c:ptCount val="15"/>
                <c:pt idx="0">
                  <c:v>Arica y Parinacota</c:v>
                </c:pt>
                <c:pt idx="1">
                  <c:v>Tarapacá</c:v>
                </c:pt>
                <c:pt idx="2">
                  <c:v>Antofagasta</c:v>
                </c:pt>
                <c:pt idx="3">
                  <c:v>Atacama</c:v>
                </c:pt>
                <c:pt idx="4">
                  <c:v>Coquimbo</c:v>
                </c:pt>
                <c:pt idx="5">
                  <c:v>Valparaíso</c:v>
                </c:pt>
                <c:pt idx="6">
                  <c:v>Metropolitana</c:v>
                </c:pt>
                <c:pt idx="7">
                  <c:v>O´Higgins</c:v>
                </c:pt>
                <c:pt idx="8">
                  <c:v>Maule</c:v>
                </c:pt>
                <c:pt idx="9">
                  <c:v>Biobio</c:v>
                </c:pt>
                <c:pt idx="10">
                  <c:v>Araucanía</c:v>
                </c:pt>
                <c:pt idx="11">
                  <c:v>Los Ríos</c:v>
                </c:pt>
                <c:pt idx="12">
                  <c:v>Los Lagos</c:v>
                </c:pt>
                <c:pt idx="13">
                  <c:v>Aysén </c:v>
                </c:pt>
                <c:pt idx="14">
                  <c:v>Magallanes</c:v>
                </c:pt>
              </c:strCache>
            </c:strRef>
          </c:cat>
          <c:val>
            <c:numRef>
              <c:f>Hoja1!$C$3:$C$17</c:f>
              <c:numCache>
                <c:formatCode>"$"#,##0_);[Red]\("$"#,##0\)</c:formatCode>
                <c:ptCount val="15"/>
                <c:pt idx="0">
                  <c:v>11375000</c:v>
                </c:pt>
                <c:pt idx="1">
                  <c:v>14117036</c:v>
                </c:pt>
                <c:pt idx="2">
                  <c:v>34003149</c:v>
                </c:pt>
                <c:pt idx="3">
                  <c:v>25750666</c:v>
                </c:pt>
                <c:pt idx="4">
                  <c:v>47833195</c:v>
                </c:pt>
                <c:pt idx="5">
                  <c:v>45848711</c:v>
                </c:pt>
                <c:pt idx="6">
                  <c:v>64554180</c:v>
                </c:pt>
                <c:pt idx="7">
                  <c:v>6751926</c:v>
                </c:pt>
                <c:pt idx="8">
                  <c:v>13580130</c:v>
                </c:pt>
                <c:pt idx="9">
                  <c:v>96089521</c:v>
                </c:pt>
                <c:pt idx="10">
                  <c:v>21854160</c:v>
                </c:pt>
                <c:pt idx="11">
                  <c:v>9008692</c:v>
                </c:pt>
                <c:pt idx="12">
                  <c:v>20624396</c:v>
                </c:pt>
                <c:pt idx="13">
                  <c:v>0</c:v>
                </c:pt>
                <c:pt idx="14">
                  <c:v>28290238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391104"/>
        <c:axId val="239392640"/>
      </c:barChart>
      <c:catAx>
        <c:axId val="239391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239392640"/>
        <c:crosses val="autoZero"/>
        <c:auto val="1"/>
        <c:lblAlgn val="ctr"/>
        <c:lblOffset val="100"/>
        <c:noMultiLvlLbl val="0"/>
      </c:catAx>
      <c:valAx>
        <c:axId val="239392640"/>
        <c:scaling>
          <c:orientation val="minMax"/>
        </c:scaling>
        <c:delete val="0"/>
        <c:axPos val="l"/>
        <c:majorGridlines/>
        <c:numFmt formatCode="&quot;$&quot;#,##0_);[Red]\(&quot;$&quot;#,##0\)" sourceLinked="1"/>
        <c:majorTickMark val="none"/>
        <c:minorTickMark val="none"/>
        <c:tickLblPos val="nextTo"/>
        <c:crossAx val="239391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FNEA</a:t>
            </a:r>
            <a:r>
              <a:rPr lang="en-US" baseline="0"/>
              <a:t> </a:t>
            </a:r>
            <a:r>
              <a:rPr lang="en-US"/>
              <a:t>2011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Hoja1!$B$3:$B$17</c:f>
              <c:strCache>
                <c:ptCount val="15"/>
                <c:pt idx="0">
                  <c:v>Arica y Parinacota</c:v>
                </c:pt>
                <c:pt idx="1">
                  <c:v>Tarapacá</c:v>
                </c:pt>
                <c:pt idx="2">
                  <c:v>Antofagasta</c:v>
                </c:pt>
                <c:pt idx="3">
                  <c:v>Atacama</c:v>
                </c:pt>
                <c:pt idx="4">
                  <c:v>Coquimbo</c:v>
                </c:pt>
                <c:pt idx="5">
                  <c:v>Valparaíso</c:v>
                </c:pt>
                <c:pt idx="6">
                  <c:v>Metropolitana</c:v>
                </c:pt>
                <c:pt idx="7">
                  <c:v>O´Higgins</c:v>
                </c:pt>
                <c:pt idx="8">
                  <c:v>Maule</c:v>
                </c:pt>
                <c:pt idx="9">
                  <c:v>Biobio</c:v>
                </c:pt>
                <c:pt idx="10">
                  <c:v>Araucanía</c:v>
                </c:pt>
                <c:pt idx="11">
                  <c:v>Los Ríos</c:v>
                </c:pt>
                <c:pt idx="12">
                  <c:v>Los Lagos</c:v>
                </c:pt>
                <c:pt idx="13">
                  <c:v>Aysén </c:v>
                </c:pt>
                <c:pt idx="14">
                  <c:v>Magallanes</c:v>
                </c:pt>
              </c:strCache>
            </c:strRef>
          </c:cat>
          <c:val>
            <c:numRef>
              <c:f>Hoja1!$D$3:$D$17</c:f>
              <c:numCache>
                <c:formatCode>"$"#,##0_);[Red]\("$"#,##0\)</c:formatCode>
                <c:ptCount val="15"/>
                <c:pt idx="0">
                  <c:v>0</c:v>
                </c:pt>
                <c:pt idx="1">
                  <c:v>18156492</c:v>
                </c:pt>
                <c:pt idx="2">
                  <c:v>23415705</c:v>
                </c:pt>
                <c:pt idx="3">
                  <c:v>18999302</c:v>
                </c:pt>
                <c:pt idx="4">
                  <c:v>0</c:v>
                </c:pt>
                <c:pt idx="5">
                  <c:v>26626486</c:v>
                </c:pt>
                <c:pt idx="6">
                  <c:v>35810741</c:v>
                </c:pt>
                <c:pt idx="7">
                  <c:v>10908049</c:v>
                </c:pt>
                <c:pt idx="8" formatCode="General">
                  <c:v>0</c:v>
                </c:pt>
                <c:pt idx="9">
                  <c:v>141470438</c:v>
                </c:pt>
                <c:pt idx="10">
                  <c:v>36669038</c:v>
                </c:pt>
                <c:pt idx="11">
                  <c:v>26833138</c:v>
                </c:pt>
                <c:pt idx="12">
                  <c:v>17594266</c:v>
                </c:pt>
                <c:pt idx="13">
                  <c:v>11271964</c:v>
                </c:pt>
                <c:pt idx="14">
                  <c:v>14870780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438080"/>
        <c:axId val="239439872"/>
      </c:barChart>
      <c:catAx>
        <c:axId val="239438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239439872"/>
        <c:crosses val="autoZero"/>
        <c:auto val="1"/>
        <c:lblAlgn val="ctr"/>
        <c:lblOffset val="100"/>
        <c:noMultiLvlLbl val="0"/>
      </c:catAx>
      <c:valAx>
        <c:axId val="239439872"/>
        <c:scaling>
          <c:orientation val="minMax"/>
        </c:scaling>
        <c:delete val="0"/>
        <c:axPos val="l"/>
        <c:majorGridlines/>
        <c:numFmt formatCode="&quot;$&quot;#,##0_);[Red]\(&quot;$&quot;#,##0\)" sourceLinked="1"/>
        <c:majorTickMark val="none"/>
        <c:minorTickMark val="none"/>
        <c:tickLblPos val="nextTo"/>
        <c:crossAx val="239438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L"/>
              <a:t>FAE</a:t>
            </a:r>
            <a:r>
              <a:rPr lang="es-CL" baseline="0"/>
              <a:t> 2012</a:t>
            </a:r>
            <a:endParaRPr lang="es-C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Hoja1!$B$3:$B$17</c:f>
              <c:strCache>
                <c:ptCount val="15"/>
                <c:pt idx="0">
                  <c:v>Arica y Parinacota</c:v>
                </c:pt>
                <c:pt idx="1">
                  <c:v>Tarapacá</c:v>
                </c:pt>
                <c:pt idx="2">
                  <c:v>Antofagasta</c:v>
                </c:pt>
                <c:pt idx="3">
                  <c:v>Atacama</c:v>
                </c:pt>
                <c:pt idx="4">
                  <c:v>Coquimbo</c:v>
                </c:pt>
                <c:pt idx="5">
                  <c:v>Valparaíso</c:v>
                </c:pt>
                <c:pt idx="6">
                  <c:v>Metropolitana</c:v>
                </c:pt>
                <c:pt idx="7">
                  <c:v>O´Higgins</c:v>
                </c:pt>
                <c:pt idx="8">
                  <c:v>Maule</c:v>
                </c:pt>
                <c:pt idx="9">
                  <c:v>Biobio</c:v>
                </c:pt>
                <c:pt idx="10">
                  <c:v>Araucanía</c:v>
                </c:pt>
                <c:pt idx="11">
                  <c:v>Los Ríos</c:v>
                </c:pt>
                <c:pt idx="12">
                  <c:v>Los Lagos</c:v>
                </c:pt>
                <c:pt idx="13">
                  <c:v>Aysén </c:v>
                </c:pt>
                <c:pt idx="14">
                  <c:v>Magallanes</c:v>
                </c:pt>
              </c:strCache>
            </c:strRef>
          </c:cat>
          <c:val>
            <c:numRef>
              <c:f>Hoja1!$C$3:$C$17</c:f>
            </c:numRef>
          </c:val>
        </c:ser>
        <c:ser>
          <c:idx val="1"/>
          <c:order val="1"/>
          <c:invertIfNegative val="0"/>
          <c:cat>
            <c:strRef>
              <c:f>Hoja1!$B$3:$B$17</c:f>
              <c:strCache>
                <c:ptCount val="15"/>
                <c:pt idx="0">
                  <c:v>Arica y Parinacota</c:v>
                </c:pt>
                <c:pt idx="1">
                  <c:v>Tarapacá</c:v>
                </c:pt>
                <c:pt idx="2">
                  <c:v>Antofagasta</c:v>
                </c:pt>
                <c:pt idx="3">
                  <c:v>Atacama</c:v>
                </c:pt>
                <c:pt idx="4">
                  <c:v>Coquimbo</c:v>
                </c:pt>
                <c:pt idx="5">
                  <c:v>Valparaíso</c:v>
                </c:pt>
                <c:pt idx="6">
                  <c:v>Metropolitana</c:v>
                </c:pt>
                <c:pt idx="7">
                  <c:v>O´Higgins</c:v>
                </c:pt>
                <c:pt idx="8">
                  <c:v>Maule</c:v>
                </c:pt>
                <c:pt idx="9">
                  <c:v>Biobio</c:v>
                </c:pt>
                <c:pt idx="10">
                  <c:v>Araucanía</c:v>
                </c:pt>
                <c:pt idx="11">
                  <c:v>Los Ríos</c:v>
                </c:pt>
                <c:pt idx="12">
                  <c:v>Los Lagos</c:v>
                </c:pt>
                <c:pt idx="13">
                  <c:v>Aysén </c:v>
                </c:pt>
                <c:pt idx="14">
                  <c:v>Magallanes</c:v>
                </c:pt>
              </c:strCache>
            </c:strRef>
          </c:cat>
          <c:val>
            <c:numRef>
              <c:f>Hoja1!$D$3:$D$17</c:f>
            </c:numRef>
          </c:val>
        </c:ser>
        <c:ser>
          <c:idx val="2"/>
          <c:order val="2"/>
          <c:invertIfNegative val="0"/>
          <c:cat>
            <c:strRef>
              <c:f>Hoja1!$B$3:$B$17</c:f>
              <c:strCache>
                <c:ptCount val="15"/>
                <c:pt idx="0">
                  <c:v>Arica y Parinacota</c:v>
                </c:pt>
                <c:pt idx="1">
                  <c:v>Tarapacá</c:v>
                </c:pt>
                <c:pt idx="2">
                  <c:v>Antofagasta</c:v>
                </c:pt>
                <c:pt idx="3">
                  <c:v>Atacama</c:v>
                </c:pt>
                <c:pt idx="4">
                  <c:v>Coquimbo</c:v>
                </c:pt>
                <c:pt idx="5">
                  <c:v>Valparaíso</c:v>
                </c:pt>
                <c:pt idx="6">
                  <c:v>Metropolitana</c:v>
                </c:pt>
                <c:pt idx="7">
                  <c:v>O´Higgins</c:v>
                </c:pt>
                <c:pt idx="8">
                  <c:v>Maule</c:v>
                </c:pt>
                <c:pt idx="9">
                  <c:v>Biobio</c:v>
                </c:pt>
                <c:pt idx="10">
                  <c:v>Araucanía</c:v>
                </c:pt>
                <c:pt idx="11">
                  <c:v>Los Ríos</c:v>
                </c:pt>
                <c:pt idx="12">
                  <c:v>Los Lagos</c:v>
                </c:pt>
                <c:pt idx="13">
                  <c:v>Aysén </c:v>
                </c:pt>
                <c:pt idx="14">
                  <c:v>Magallanes</c:v>
                </c:pt>
              </c:strCache>
            </c:strRef>
          </c:cat>
          <c:val>
            <c:numRef>
              <c:f>Hoja1!$E$3:$E$17</c:f>
              <c:numCache>
                <c:formatCode>"$"#,##0_);[Red]\("$"#,##0\)</c:formatCode>
                <c:ptCount val="15"/>
                <c:pt idx="0">
                  <c:v>9956313</c:v>
                </c:pt>
                <c:pt idx="1">
                  <c:v>18328816</c:v>
                </c:pt>
                <c:pt idx="2">
                  <c:v>4584739</c:v>
                </c:pt>
                <c:pt idx="3">
                  <c:v>0</c:v>
                </c:pt>
                <c:pt idx="4">
                  <c:v>37933448</c:v>
                </c:pt>
                <c:pt idx="5">
                  <c:v>71474160</c:v>
                </c:pt>
                <c:pt idx="6">
                  <c:v>80128461</c:v>
                </c:pt>
                <c:pt idx="7">
                  <c:v>0</c:v>
                </c:pt>
                <c:pt idx="8">
                  <c:v>0</c:v>
                </c:pt>
                <c:pt idx="9">
                  <c:v>103757799</c:v>
                </c:pt>
                <c:pt idx="10">
                  <c:v>16364582</c:v>
                </c:pt>
                <c:pt idx="11">
                  <c:v>36123491</c:v>
                </c:pt>
                <c:pt idx="12">
                  <c:v>27424499</c:v>
                </c:pt>
                <c:pt idx="13">
                  <c:v>13295820</c:v>
                </c:pt>
                <c:pt idx="14">
                  <c:v>21764048</c:v>
                </c:pt>
              </c:numCache>
            </c:numRef>
          </c:val>
        </c:ser>
        <c:ser>
          <c:idx val="3"/>
          <c:order val="3"/>
          <c:invertIfNegative val="0"/>
          <c:cat>
            <c:strRef>
              <c:f>Hoja1!$B$3:$B$17</c:f>
              <c:strCache>
                <c:ptCount val="15"/>
                <c:pt idx="0">
                  <c:v>Arica y Parinacota</c:v>
                </c:pt>
                <c:pt idx="1">
                  <c:v>Tarapacá</c:v>
                </c:pt>
                <c:pt idx="2">
                  <c:v>Antofagasta</c:v>
                </c:pt>
                <c:pt idx="3">
                  <c:v>Atacama</c:v>
                </c:pt>
                <c:pt idx="4">
                  <c:v>Coquimbo</c:v>
                </c:pt>
                <c:pt idx="5">
                  <c:v>Valparaíso</c:v>
                </c:pt>
                <c:pt idx="6">
                  <c:v>Metropolitana</c:v>
                </c:pt>
                <c:pt idx="7">
                  <c:v>O´Higgins</c:v>
                </c:pt>
                <c:pt idx="8">
                  <c:v>Maule</c:v>
                </c:pt>
                <c:pt idx="9">
                  <c:v>Biobio</c:v>
                </c:pt>
                <c:pt idx="10">
                  <c:v>Araucanía</c:v>
                </c:pt>
                <c:pt idx="11">
                  <c:v>Los Ríos</c:v>
                </c:pt>
                <c:pt idx="12">
                  <c:v>Los Lagos</c:v>
                </c:pt>
                <c:pt idx="13">
                  <c:v>Aysén </c:v>
                </c:pt>
                <c:pt idx="14">
                  <c:v>Magallanes</c:v>
                </c:pt>
              </c:strCache>
            </c:strRef>
          </c:cat>
          <c:val>
            <c:numRef>
              <c:f>Hoja1!$F$3:$F$17</c:f>
              <c:numCache>
                <c:formatCode>"$"#,##0_);[Red]\("$"#,##0\)</c:formatCode>
                <c:ptCount val="15"/>
                <c:pt idx="0">
                  <c:v>0</c:v>
                </c:pt>
                <c:pt idx="1">
                  <c:v>7614514</c:v>
                </c:pt>
                <c:pt idx="2">
                  <c:v>0</c:v>
                </c:pt>
                <c:pt idx="3">
                  <c:v>6553318</c:v>
                </c:pt>
                <c:pt idx="4">
                  <c:v>0</c:v>
                </c:pt>
                <c:pt idx="5">
                  <c:v>2323200</c:v>
                </c:pt>
                <c:pt idx="6">
                  <c:v>7279792</c:v>
                </c:pt>
                <c:pt idx="7">
                  <c:v>0</c:v>
                </c:pt>
                <c:pt idx="8">
                  <c:v>0</c:v>
                </c:pt>
                <c:pt idx="9">
                  <c:v>2000000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461120"/>
        <c:axId val="239462656"/>
      </c:barChart>
      <c:catAx>
        <c:axId val="239461120"/>
        <c:scaling>
          <c:orientation val="minMax"/>
        </c:scaling>
        <c:delete val="0"/>
        <c:axPos val="b"/>
        <c:majorTickMark val="none"/>
        <c:minorTickMark val="none"/>
        <c:tickLblPos val="nextTo"/>
        <c:crossAx val="239462656"/>
        <c:crosses val="autoZero"/>
        <c:auto val="1"/>
        <c:lblAlgn val="ctr"/>
        <c:lblOffset val="100"/>
        <c:noMultiLvlLbl val="0"/>
      </c:catAx>
      <c:valAx>
        <c:axId val="239462656"/>
        <c:scaling>
          <c:orientation val="minMax"/>
        </c:scaling>
        <c:delete val="0"/>
        <c:axPos val="l"/>
        <c:majorGridlines/>
        <c:numFmt formatCode="&quot;$&quot;#,##0_);[Red]\(&quot;$&quot;#,##0\)" sourceLinked="1"/>
        <c:majorTickMark val="none"/>
        <c:minorTickMark val="none"/>
        <c:tickLblPos val="nextTo"/>
        <c:crossAx val="239461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L"/>
              <a:t>FAE</a:t>
            </a:r>
            <a:r>
              <a:rPr lang="es-CL" baseline="0"/>
              <a:t> 2013</a:t>
            </a:r>
            <a:endParaRPr lang="es-CL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Hoja1!$B$3:$B$17</c:f>
              <c:strCache>
                <c:ptCount val="15"/>
                <c:pt idx="0">
                  <c:v>Arica y Parinacota</c:v>
                </c:pt>
                <c:pt idx="1">
                  <c:v>Tarapacá</c:v>
                </c:pt>
                <c:pt idx="2">
                  <c:v>Antofagasta</c:v>
                </c:pt>
                <c:pt idx="3">
                  <c:v>Atacama</c:v>
                </c:pt>
                <c:pt idx="4">
                  <c:v>Coquimbo</c:v>
                </c:pt>
                <c:pt idx="5">
                  <c:v>Valparaíso</c:v>
                </c:pt>
                <c:pt idx="6">
                  <c:v>Metropolitana</c:v>
                </c:pt>
                <c:pt idx="7">
                  <c:v>O´Higgins</c:v>
                </c:pt>
                <c:pt idx="8">
                  <c:v>Maule</c:v>
                </c:pt>
                <c:pt idx="9">
                  <c:v>Biobio</c:v>
                </c:pt>
                <c:pt idx="10">
                  <c:v>Araucanía</c:v>
                </c:pt>
                <c:pt idx="11">
                  <c:v>Los Ríos</c:v>
                </c:pt>
                <c:pt idx="12">
                  <c:v>Los Lagos</c:v>
                </c:pt>
                <c:pt idx="13">
                  <c:v>Aysén </c:v>
                </c:pt>
                <c:pt idx="14">
                  <c:v>Magallanes</c:v>
                </c:pt>
              </c:strCache>
            </c:strRef>
          </c:cat>
          <c:val>
            <c:numRef>
              <c:f>Hoja1!$C$3:$C$17</c:f>
            </c:numRef>
          </c:val>
        </c:ser>
        <c:ser>
          <c:idx val="1"/>
          <c:order val="1"/>
          <c:invertIfNegative val="0"/>
          <c:cat>
            <c:strRef>
              <c:f>Hoja1!$B$3:$B$17</c:f>
              <c:strCache>
                <c:ptCount val="15"/>
                <c:pt idx="0">
                  <c:v>Arica y Parinacota</c:v>
                </c:pt>
                <c:pt idx="1">
                  <c:v>Tarapacá</c:v>
                </c:pt>
                <c:pt idx="2">
                  <c:v>Antofagasta</c:v>
                </c:pt>
                <c:pt idx="3">
                  <c:v>Atacama</c:v>
                </c:pt>
                <c:pt idx="4">
                  <c:v>Coquimbo</c:v>
                </c:pt>
                <c:pt idx="5">
                  <c:v>Valparaíso</c:v>
                </c:pt>
                <c:pt idx="6">
                  <c:v>Metropolitana</c:v>
                </c:pt>
                <c:pt idx="7">
                  <c:v>O´Higgins</c:v>
                </c:pt>
                <c:pt idx="8">
                  <c:v>Maule</c:v>
                </c:pt>
                <c:pt idx="9">
                  <c:v>Biobio</c:v>
                </c:pt>
                <c:pt idx="10">
                  <c:v>Araucanía</c:v>
                </c:pt>
                <c:pt idx="11">
                  <c:v>Los Ríos</c:v>
                </c:pt>
                <c:pt idx="12">
                  <c:v>Los Lagos</c:v>
                </c:pt>
                <c:pt idx="13">
                  <c:v>Aysén </c:v>
                </c:pt>
                <c:pt idx="14">
                  <c:v>Magallanes</c:v>
                </c:pt>
              </c:strCache>
            </c:strRef>
          </c:cat>
          <c:val>
            <c:numRef>
              <c:f>Hoja1!$D$3:$D$17</c:f>
            </c:numRef>
          </c:val>
        </c:ser>
        <c:ser>
          <c:idx val="2"/>
          <c:order val="2"/>
          <c:invertIfNegative val="0"/>
          <c:cat>
            <c:strRef>
              <c:f>Hoja1!$B$3:$B$17</c:f>
              <c:strCache>
                <c:ptCount val="15"/>
                <c:pt idx="0">
                  <c:v>Arica y Parinacota</c:v>
                </c:pt>
                <c:pt idx="1">
                  <c:v>Tarapacá</c:v>
                </c:pt>
                <c:pt idx="2">
                  <c:v>Antofagasta</c:v>
                </c:pt>
                <c:pt idx="3">
                  <c:v>Atacama</c:v>
                </c:pt>
                <c:pt idx="4">
                  <c:v>Coquimbo</c:v>
                </c:pt>
                <c:pt idx="5">
                  <c:v>Valparaíso</c:v>
                </c:pt>
                <c:pt idx="6">
                  <c:v>Metropolitana</c:v>
                </c:pt>
                <c:pt idx="7">
                  <c:v>O´Higgins</c:v>
                </c:pt>
                <c:pt idx="8">
                  <c:v>Maule</c:v>
                </c:pt>
                <c:pt idx="9">
                  <c:v>Biobio</c:v>
                </c:pt>
                <c:pt idx="10">
                  <c:v>Araucanía</c:v>
                </c:pt>
                <c:pt idx="11">
                  <c:v>Los Ríos</c:v>
                </c:pt>
                <c:pt idx="12">
                  <c:v>Los Lagos</c:v>
                </c:pt>
                <c:pt idx="13">
                  <c:v>Aysén </c:v>
                </c:pt>
                <c:pt idx="14">
                  <c:v>Magallanes</c:v>
                </c:pt>
              </c:strCache>
            </c:strRef>
          </c:cat>
          <c:val>
            <c:numRef>
              <c:f>Hoja1!$E$3:$E$17</c:f>
            </c:numRef>
          </c:val>
        </c:ser>
        <c:ser>
          <c:idx val="3"/>
          <c:order val="3"/>
          <c:invertIfNegative val="0"/>
          <c:cat>
            <c:strRef>
              <c:f>Hoja1!$B$3:$B$17</c:f>
              <c:strCache>
                <c:ptCount val="15"/>
                <c:pt idx="0">
                  <c:v>Arica y Parinacota</c:v>
                </c:pt>
                <c:pt idx="1">
                  <c:v>Tarapacá</c:v>
                </c:pt>
                <c:pt idx="2">
                  <c:v>Antofagasta</c:v>
                </c:pt>
                <c:pt idx="3">
                  <c:v>Atacama</c:v>
                </c:pt>
                <c:pt idx="4">
                  <c:v>Coquimbo</c:v>
                </c:pt>
                <c:pt idx="5">
                  <c:v>Valparaíso</c:v>
                </c:pt>
                <c:pt idx="6">
                  <c:v>Metropolitana</c:v>
                </c:pt>
                <c:pt idx="7">
                  <c:v>O´Higgins</c:v>
                </c:pt>
                <c:pt idx="8">
                  <c:v>Maule</c:v>
                </c:pt>
                <c:pt idx="9">
                  <c:v>Biobio</c:v>
                </c:pt>
                <c:pt idx="10">
                  <c:v>Araucanía</c:v>
                </c:pt>
                <c:pt idx="11">
                  <c:v>Los Ríos</c:v>
                </c:pt>
                <c:pt idx="12">
                  <c:v>Los Lagos</c:v>
                </c:pt>
                <c:pt idx="13">
                  <c:v>Aysén </c:v>
                </c:pt>
                <c:pt idx="14">
                  <c:v>Magallanes</c:v>
                </c:pt>
              </c:strCache>
            </c:strRef>
          </c:cat>
          <c:val>
            <c:numRef>
              <c:f>Hoja1!$F$3:$F$17</c:f>
            </c:numRef>
          </c:val>
        </c:ser>
        <c:ser>
          <c:idx val="4"/>
          <c:order val="4"/>
          <c:invertIfNegative val="0"/>
          <c:cat>
            <c:strRef>
              <c:f>Hoja1!$B$3:$B$17</c:f>
              <c:strCache>
                <c:ptCount val="15"/>
                <c:pt idx="0">
                  <c:v>Arica y Parinacota</c:v>
                </c:pt>
                <c:pt idx="1">
                  <c:v>Tarapacá</c:v>
                </c:pt>
                <c:pt idx="2">
                  <c:v>Antofagasta</c:v>
                </c:pt>
                <c:pt idx="3">
                  <c:v>Atacama</c:v>
                </c:pt>
                <c:pt idx="4">
                  <c:v>Coquimbo</c:v>
                </c:pt>
                <c:pt idx="5">
                  <c:v>Valparaíso</c:v>
                </c:pt>
                <c:pt idx="6">
                  <c:v>Metropolitana</c:v>
                </c:pt>
                <c:pt idx="7">
                  <c:v>O´Higgins</c:v>
                </c:pt>
                <c:pt idx="8">
                  <c:v>Maule</c:v>
                </c:pt>
                <c:pt idx="9">
                  <c:v>Biobio</c:v>
                </c:pt>
                <c:pt idx="10">
                  <c:v>Araucanía</c:v>
                </c:pt>
                <c:pt idx="11">
                  <c:v>Los Ríos</c:v>
                </c:pt>
                <c:pt idx="12">
                  <c:v>Los Lagos</c:v>
                </c:pt>
                <c:pt idx="13">
                  <c:v>Aysén </c:v>
                </c:pt>
                <c:pt idx="14">
                  <c:v>Magallanes</c:v>
                </c:pt>
              </c:strCache>
            </c:strRef>
          </c:cat>
          <c:val>
            <c:numRef>
              <c:f>Hoja1!$G$3:$G$17</c:f>
              <c:numCache>
                <c:formatCode>"$"#,##0_);[Red]\("$"#,##0\)</c:formatCode>
                <c:ptCount val="15"/>
                <c:pt idx="0">
                  <c:v>0</c:v>
                </c:pt>
                <c:pt idx="1">
                  <c:v>5635837</c:v>
                </c:pt>
                <c:pt idx="2">
                  <c:v>30541267</c:v>
                </c:pt>
                <c:pt idx="3">
                  <c:v>19287360</c:v>
                </c:pt>
                <c:pt idx="4">
                  <c:v>38247931</c:v>
                </c:pt>
                <c:pt idx="5">
                  <c:v>73560149</c:v>
                </c:pt>
                <c:pt idx="6">
                  <c:v>79273500</c:v>
                </c:pt>
                <c:pt idx="7">
                  <c:v>46525155</c:v>
                </c:pt>
                <c:pt idx="8">
                  <c:v>3843508</c:v>
                </c:pt>
                <c:pt idx="9">
                  <c:v>61300496</c:v>
                </c:pt>
                <c:pt idx="10">
                  <c:v>6610015</c:v>
                </c:pt>
                <c:pt idx="11">
                  <c:v>31172830</c:v>
                </c:pt>
                <c:pt idx="12">
                  <c:v>32497252</c:v>
                </c:pt>
                <c:pt idx="13">
                  <c:v>13220677</c:v>
                </c:pt>
                <c:pt idx="14">
                  <c:v>38731023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502080"/>
        <c:axId val="239503616"/>
      </c:barChart>
      <c:catAx>
        <c:axId val="239502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239503616"/>
        <c:crosses val="autoZero"/>
        <c:auto val="1"/>
        <c:lblAlgn val="ctr"/>
        <c:lblOffset val="100"/>
        <c:noMultiLvlLbl val="0"/>
      </c:catAx>
      <c:valAx>
        <c:axId val="239503616"/>
        <c:scaling>
          <c:orientation val="minMax"/>
        </c:scaling>
        <c:delete val="0"/>
        <c:axPos val="l"/>
        <c:majorGridlines/>
        <c:numFmt formatCode="&quot;$&quot;#,##0_);[Red]\(&quot;$&quot;#,##0\)" sourceLinked="1"/>
        <c:majorTickMark val="none"/>
        <c:minorTickMark val="none"/>
        <c:tickLblPos val="nextTo"/>
        <c:crossAx val="239502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1260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Andrés Lucero Tobar</dc:creator>
  <cp:keywords/>
  <dc:description/>
  <cp:lastModifiedBy>Marcelo Andrés Lucero Tobar</cp:lastModifiedBy>
  <cp:revision>4</cp:revision>
  <dcterms:created xsi:type="dcterms:W3CDTF">2013-10-15T14:38:00Z</dcterms:created>
  <dcterms:modified xsi:type="dcterms:W3CDTF">2013-10-15T17:20:00Z</dcterms:modified>
</cp:coreProperties>
</file>