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FD" w:rsidRDefault="006F15FD" w:rsidP="007F7871">
      <w:pPr>
        <w:ind w:left="284"/>
      </w:pPr>
    </w:p>
    <w:p w:rsidR="007D2192" w:rsidRPr="00B941CF" w:rsidRDefault="007D2192" w:rsidP="00B941CF">
      <w:pPr>
        <w:jc w:val="center"/>
      </w:pPr>
      <w:r>
        <w:rPr>
          <w:noProof/>
          <w:lang w:eastAsia="es-CL"/>
        </w:rPr>
        <w:drawing>
          <wp:inline distT="0" distB="0" distL="0" distR="0" wp14:anchorId="23A0BCEF" wp14:editId="687CD88B">
            <wp:extent cx="2019300" cy="20478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e-285x285.jpg"/>
                    <pic:cNvPicPr/>
                  </pic:nvPicPr>
                  <pic:blipFill>
                    <a:blip r:embed="rId8">
                      <a:extLst>
                        <a:ext uri="{28A0092B-C50C-407E-A947-70E740481C1C}">
                          <a14:useLocalDpi xmlns:a14="http://schemas.microsoft.com/office/drawing/2010/main" val="0"/>
                        </a:ext>
                      </a:extLst>
                    </a:blip>
                    <a:stretch>
                      <a:fillRect/>
                    </a:stretch>
                  </pic:blipFill>
                  <pic:spPr>
                    <a:xfrm>
                      <a:off x="0" y="0"/>
                      <a:ext cx="2019300" cy="2047875"/>
                    </a:xfrm>
                    <a:prstGeom prst="rect">
                      <a:avLst/>
                    </a:prstGeom>
                  </pic:spPr>
                </pic:pic>
              </a:graphicData>
            </a:graphic>
          </wp:inline>
        </w:drawing>
      </w:r>
    </w:p>
    <w:p w:rsidR="00845D9D" w:rsidRDefault="00845D9D" w:rsidP="007D2192">
      <w:pPr>
        <w:pStyle w:val="CompanyInfo"/>
        <w:rPr>
          <w:noProof/>
          <w:lang w:val="es-ES_tradnl"/>
        </w:rPr>
      </w:pPr>
    </w:p>
    <w:p w:rsidR="00845D9D" w:rsidRDefault="00845D9D" w:rsidP="007D2192">
      <w:pPr>
        <w:pStyle w:val="CompanyInfo"/>
        <w:rPr>
          <w:noProof/>
          <w:lang w:val="es-ES_tradnl"/>
        </w:rPr>
      </w:pPr>
    </w:p>
    <w:p w:rsidR="00B941CF" w:rsidRDefault="00B941CF" w:rsidP="007D2192">
      <w:pPr>
        <w:pStyle w:val="CompanyInfo"/>
        <w:rPr>
          <w:noProof/>
          <w:lang w:val="es-ES_tradnl"/>
        </w:rPr>
      </w:pPr>
    </w:p>
    <w:p w:rsidR="00B941CF" w:rsidRDefault="00B941CF" w:rsidP="007D2192">
      <w:pPr>
        <w:pStyle w:val="CompanyInfo"/>
        <w:rPr>
          <w:noProof/>
          <w:lang w:val="es-ES_tradnl"/>
        </w:rPr>
      </w:pPr>
    </w:p>
    <w:p w:rsidR="00B941CF" w:rsidRDefault="00B941CF" w:rsidP="007D2192">
      <w:pPr>
        <w:pStyle w:val="CompanyInfo"/>
        <w:rPr>
          <w:noProof/>
          <w:lang w:val="es-ES_tradnl"/>
        </w:rPr>
      </w:pPr>
    </w:p>
    <w:p w:rsidR="00845D9D" w:rsidRDefault="00845D9D" w:rsidP="007D2192">
      <w:pPr>
        <w:pStyle w:val="CompanyInfo"/>
        <w:rPr>
          <w:noProof/>
          <w:lang w:val="es-ES_tradnl"/>
        </w:rPr>
      </w:pPr>
    </w:p>
    <w:p w:rsidR="00B941CF" w:rsidRPr="009D1419" w:rsidRDefault="00AB30D6" w:rsidP="00AB30D6">
      <w:pPr>
        <w:pStyle w:val="CompanyInfo"/>
        <w:ind w:left="284"/>
        <w:rPr>
          <w:rFonts w:ascii="Verdana" w:hAnsi="Verdana"/>
          <w:noProof/>
          <w:sz w:val="28"/>
          <w:szCs w:val="28"/>
          <w:lang w:val="es-ES_tradnl"/>
        </w:rPr>
      </w:pPr>
      <w:r>
        <w:rPr>
          <w:rFonts w:ascii="Verdana" w:hAnsi="Verdana"/>
          <w:noProof/>
          <w:sz w:val="28"/>
          <w:szCs w:val="28"/>
          <w:lang w:val="es-ES_tradnl"/>
        </w:rPr>
        <w:t>REPORTE</w:t>
      </w:r>
      <w:r w:rsidR="00B941CF" w:rsidRPr="009D1419">
        <w:rPr>
          <w:rFonts w:ascii="Verdana" w:hAnsi="Verdana"/>
          <w:noProof/>
          <w:sz w:val="28"/>
          <w:szCs w:val="28"/>
          <w:lang w:val="es-ES_tradnl"/>
        </w:rPr>
        <w:t xml:space="preserve"> CONVOCATORIA FONDO FOMENTO AL</w:t>
      </w:r>
      <w:r w:rsidR="00662EE8">
        <w:rPr>
          <w:rFonts w:ascii="Verdana" w:hAnsi="Verdana"/>
          <w:noProof/>
          <w:sz w:val="28"/>
          <w:szCs w:val="28"/>
          <w:lang w:val="es-ES_tradnl"/>
        </w:rPr>
        <w:t xml:space="preserve"> ARTE EN LA EDUCACIÓN – FAE 2015</w:t>
      </w:r>
      <w:r w:rsidR="00B941CF" w:rsidRPr="009D1419">
        <w:rPr>
          <w:rFonts w:ascii="Verdana" w:hAnsi="Verdana"/>
          <w:noProof/>
          <w:sz w:val="28"/>
          <w:szCs w:val="28"/>
          <w:lang w:val="es-ES_tradnl"/>
        </w:rPr>
        <w:t>.</w:t>
      </w:r>
    </w:p>
    <w:p w:rsidR="006F15FD" w:rsidRDefault="006F15FD" w:rsidP="007D2192">
      <w:pPr>
        <w:pStyle w:val="CompanyInfo"/>
        <w:rPr>
          <w:noProof/>
          <w:lang w:val="es-ES_tradnl"/>
        </w:rPr>
      </w:pPr>
    </w:p>
    <w:p w:rsidR="006F15FD" w:rsidRDefault="006F15FD" w:rsidP="007D2192">
      <w:pPr>
        <w:pStyle w:val="CompanyInfo"/>
        <w:rPr>
          <w:noProof/>
          <w:lang w:val="es-ES_tradnl"/>
        </w:rPr>
      </w:pPr>
    </w:p>
    <w:p w:rsidR="006F15FD" w:rsidRDefault="006F15FD" w:rsidP="007D2192">
      <w:pPr>
        <w:pStyle w:val="CompanyInfo"/>
        <w:rPr>
          <w:noProof/>
          <w:lang w:val="es-ES_tradnl"/>
        </w:rPr>
      </w:pPr>
    </w:p>
    <w:p w:rsidR="006F15FD" w:rsidRDefault="006F15FD" w:rsidP="007D2192">
      <w:pPr>
        <w:pStyle w:val="CompanyInfo"/>
        <w:rPr>
          <w:noProof/>
          <w:lang w:val="es-ES_tradnl"/>
        </w:rPr>
      </w:pPr>
    </w:p>
    <w:p w:rsidR="006F15FD" w:rsidRDefault="006F15FD" w:rsidP="007D2192">
      <w:pPr>
        <w:pStyle w:val="CompanyInfo"/>
        <w:rPr>
          <w:noProof/>
          <w:lang w:val="es-ES_tradnl"/>
        </w:rPr>
      </w:pPr>
    </w:p>
    <w:p w:rsidR="006F15FD" w:rsidRDefault="006F15FD" w:rsidP="007D2192">
      <w:pPr>
        <w:pStyle w:val="CompanyInfo"/>
        <w:rPr>
          <w:noProof/>
          <w:lang w:val="es-ES_tradnl"/>
        </w:rPr>
      </w:pPr>
    </w:p>
    <w:p w:rsidR="007D2192" w:rsidRDefault="007D2192" w:rsidP="007D2192">
      <w:pPr>
        <w:pStyle w:val="CompanyInfo"/>
        <w:rPr>
          <w:noProof/>
          <w:lang w:val="es-ES_tradnl"/>
        </w:rPr>
      </w:pPr>
    </w:p>
    <w:p w:rsidR="00B941CF" w:rsidRDefault="00B941CF" w:rsidP="007D2192">
      <w:pPr>
        <w:pStyle w:val="CompanyInfo"/>
        <w:rPr>
          <w:noProof/>
          <w:lang w:val="es-ES_tradnl"/>
        </w:rPr>
      </w:pPr>
    </w:p>
    <w:p w:rsidR="007D2192" w:rsidRPr="00D047B5" w:rsidRDefault="007D2192" w:rsidP="007D2192">
      <w:pPr>
        <w:pStyle w:val="CompanyInfo"/>
        <w:rPr>
          <w:noProof/>
          <w:lang w:val="es-ES_tradnl"/>
        </w:rPr>
      </w:pPr>
      <w:r>
        <w:rPr>
          <w:noProof/>
          <w:lang w:val="es-ES_tradnl"/>
        </w:rPr>
        <w:t>Sección de Educación Artística</w:t>
      </w:r>
    </w:p>
    <w:p w:rsidR="007D2192" w:rsidRDefault="007D2192" w:rsidP="007D2192">
      <w:pPr>
        <w:jc w:val="center"/>
        <w:rPr>
          <w:noProof/>
          <w:color w:val="808080"/>
          <w:lang w:val="es-ES_tradnl"/>
        </w:rPr>
      </w:pPr>
      <w:r>
        <w:rPr>
          <w:noProof/>
          <w:color w:val="808080"/>
          <w:lang w:val="es-ES_tradnl"/>
        </w:rPr>
        <w:t xml:space="preserve">Dpto. Ciudadanía y Cultura </w:t>
      </w:r>
    </w:p>
    <w:p w:rsidR="007D2192" w:rsidRDefault="007D2192" w:rsidP="007D2192">
      <w:pPr>
        <w:jc w:val="center"/>
        <w:rPr>
          <w:noProof/>
          <w:color w:val="808080"/>
          <w:lang w:val="es-ES_tradnl"/>
        </w:rPr>
      </w:pPr>
      <w:r>
        <w:rPr>
          <w:noProof/>
          <w:color w:val="808080"/>
          <w:lang w:val="es-ES_tradnl"/>
        </w:rPr>
        <w:t>CONSEJO NACIONAL DE LA CULTURA Y LAS ARTES.</w:t>
      </w:r>
    </w:p>
    <w:p w:rsidR="00845D9D" w:rsidRDefault="00CD0B22" w:rsidP="00B941CF">
      <w:pPr>
        <w:jc w:val="center"/>
        <w:rPr>
          <w:noProof/>
          <w:color w:val="808080"/>
          <w:lang w:val="es-ES_tradnl"/>
        </w:rPr>
      </w:pPr>
      <w:r>
        <w:rPr>
          <w:noProof/>
          <w:color w:val="808080"/>
          <w:lang w:val="es-ES_tradnl"/>
        </w:rPr>
        <w:t>201</w:t>
      </w:r>
      <w:r w:rsidR="00662EE8">
        <w:rPr>
          <w:noProof/>
          <w:color w:val="808080"/>
          <w:lang w:val="es-ES_tradnl"/>
        </w:rPr>
        <w:t>5</w:t>
      </w:r>
    </w:p>
    <w:p w:rsidR="00A45AE2" w:rsidRDefault="00A45AE2" w:rsidP="00B941CF">
      <w:pPr>
        <w:jc w:val="center"/>
        <w:rPr>
          <w:noProof/>
          <w:color w:val="808080"/>
          <w:lang w:val="es-ES_tradnl"/>
        </w:rPr>
      </w:pPr>
    </w:p>
    <w:p w:rsidR="009E0AEC" w:rsidRDefault="009E0AEC" w:rsidP="007F7871">
      <w:pPr>
        <w:pStyle w:val="Ttulo1"/>
        <w:ind w:firstLine="708"/>
        <w:rPr>
          <w:rFonts w:asciiTheme="minorHAnsi" w:hAnsiTheme="minorHAnsi"/>
          <w:noProof/>
          <w:color w:val="auto"/>
          <w:sz w:val="22"/>
          <w:szCs w:val="22"/>
          <w:lang w:val="es-ES_tradnl" w:eastAsia="en-US"/>
        </w:rPr>
      </w:pPr>
    </w:p>
    <w:p w:rsidR="007D2192" w:rsidRDefault="00B941CF" w:rsidP="007F7871">
      <w:pPr>
        <w:pStyle w:val="Ttulo1"/>
        <w:ind w:firstLine="708"/>
        <w:rPr>
          <w:rFonts w:ascii="Verdana" w:hAnsi="Verdana"/>
          <w:noProof/>
          <w:sz w:val="28"/>
          <w:szCs w:val="28"/>
          <w:lang w:val="es-ES_tradnl"/>
        </w:rPr>
      </w:pPr>
      <w:r>
        <w:rPr>
          <w:rFonts w:ascii="Verdana" w:hAnsi="Verdana"/>
          <w:noProof/>
          <w:sz w:val="28"/>
          <w:szCs w:val="28"/>
          <w:lang w:val="es-ES_tradnl"/>
        </w:rPr>
        <w:lastRenderedPageBreak/>
        <w:t>Introducción</w:t>
      </w:r>
    </w:p>
    <w:p w:rsidR="00C136EB" w:rsidRDefault="00C136EB" w:rsidP="00CD0B22">
      <w:pPr>
        <w:spacing w:line="360" w:lineRule="auto"/>
        <w:jc w:val="both"/>
        <w:rPr>
          <w:rFonts w:ascii="Verdana" w:hAnsi="Verdana" w:cs="Calibri"/>
          <w:bCs/>
          <w:sz w:val="18"/>
          <w:szCs w:val="18"/>
          <w:lang w:val="es-ES"/>
        </w:rPr>
      </w:pPr>
    </w:p>
    <w:p w:rsidR="00C136EB" w:rsidRDefault="000B2E31" w:rsidP="0055571B">
      <w:pPr>
        <w:spacing w:line="360" w:lineRule="auto"/>
        <w:ind w:firstLine="708"/>
        <w:jc w:val="both"/>
        <w:rPr>
          <w:rFonts w:ascii="Verdana" w:hAnsi="Verdana" w:cs="Calibri"/>
          <w:bCs/>
          <w:sz w:val="18"/>
          <w:szCs w:val="18"/>
          <w:lang w:val="es-ES"/>
        </w:rPr>
      </w:pPr>
      <w:r>
        <w:rPr>
          <w:rFonts w:ascii="Verdana" w:hAnsi="Verdana" w:cs="Calibri"/>
          <w:bCs/>
          <w:sz w:val="18"/>
          <w:szCs w:val="18"/>
          <w:lang w:val="es-ES"/>
        </w:rPr>
        <w:t xml:space="preserve">El fondo de fomento al arte en la educación, FAE, precedido del Fondo Nacional para Escuelas Artísticas (FNEA 1996-2011) ha permitido financiar proyectos en </w:t>
      </w:r>
      <w:r w:rsidR="00FE72C1">
        <w:rPr>
          <w:rFonts w:ascii="Verdana" w:hAnsi="Verdana" w:cs="Calibri"/>
          <w:bCs/>
          <w:sz w:val="18"/>
          <w:szCs w:val="18"/>
          <w:lang w:val="es-ES"/>
        </w:rPr>
        <w:t xml:space="preserve">establecimientos educacionales que fomentan la educación artística, </w:t>
      </w:r>
      <w:r w:rsidR="00470598">
        <w:rPr>
          <w:rFonts w:ascii="Verdana" w:hAnsi="Verdana" w:cs="Calibri"/>
          <w:bCs/>
          <w:sz w:val="18"/>
          <w:szCs w:val="18"/>
          <w:lang w:val="es-ES"/>
        </w:rPr>
        <w:t>así como instituciones</w:t>
      </w:r>
      <w:r w:rsidR="001176F0">
        <w:rPr>
          <w:rFonts w:ascii="Verdana" w:hAnsi="Verdana" w:cs="Calibri"/>
          <w:bCs/>
          <w:sz w:val="18"/>
          <w:szCs w:val="18"/>
          <w:lang w:val="es-ES"/>
        </w:rPr>
        <w:t xml:space="preserve"> culturales sin fines de lucro </w:t>
      </w:r>
      <w:r w:rsidR="00470598">
        <w:rPr>
          <w:rFonts w:ascii="Verdana" w:hAnsi="Verdana" w:cs="Calibri"/>
          <w:bCs/>
          <w:sz w:val="18"/>
          <w:szCs w:val="18"/>
          <w:lang w:val="es-ES"/>
        </w:rPr>
        <w:t xml:space="preserve">que promueven espacios de formación y mediación artística - cultural, </w:t>
      </w:r>
      <w:r w:rsidR="00FE72C1">
        <w:rPr>
          <w:rFonts w:ascii="Verdana" w:hAnsi="Verdana" w:cs="Calibri"/>
          <w:bCs/>
          <w:sz w:val="18"/>
          <w:szCs w:val="18"/>
          <w:lang w:val="es-ES"/>
        </w:rPr>
        <w:t>a</w:t>
      </w:r>
      <w:r w:rsidR="00470598">
        <w:rPr>
          <w:rFonts w:ascii="Verdana" w:hAnsi="Verdana" w:cs="Calibri"/>
          <w:bCs/>
          <w:sz w:val="18"/>
          <w:szCs w:val="18"/>
          <w:lang w:val="es-ES"/>
        </w:rPr>
        <w:t xml:space="preserve"> través de diversas iniciativas presentadas a partir del 2012.</w:t>
      </w:r>
    </w:p>
    <w:p w:rsidR="00C136EB" w:rsidRPr="00662EE8" w:rsidRDefault="00FE72C1" w:rsidP="0055571B">
      <w:pPr>
        <w:spacing w:line="360" w:lineRule="auto"/>
        <w:ind w:firstLine="708"/>
        <w:jc w:val="both"/>
        <w:rPr>
          <w:rFonts w:ascii="Verdana" w:hAnsi="Verdana" w:cs="Calibri"/>
          <w:bCs/>
          <w:color w:val="FF0000"/>
          <w:sz w:val="18"/>
          <w:szCs w:val="18"/>
          <w:lang w:val="es-ES"/>
        </w:rPr>
      </w:pPr>
      <w:r>
        <w:rPr>
          <w:rFonts w:ascii="Verdana" w:hAnsi="Verdana" w:cs="Calibri"/>
          <w:bCs/>
          <w:sz w:val="18"/>
          <w:szCs w:val="18"/>
          <w:lang w:val="es-ES"/>
        </w:rPr>
        <w:t xml:space="preserve"> </w:t>
      </w:r>
      <w:r w:rsidR="001176F0" w:rsidRPr="00662EE8">
        <w:rPr>
          <w:rFonts w:ascii="Verdana" w:hAnsi="Verdana" w:cs="Calibri"/>
          <w:bCs/>
          <w:color w:val="FF0000"/>
          <w:sz w:val="18"/>
          <w:szCs w:val="18"/>
          <w:lang w:val="es-ES"/>
        </w:rPr>
        <w:t>La co</w:t>
      </w:r>
      <w:r w:rsidR="00662EE8" w:rsidRPr="00662EE8">
        <w:rPr>
          <w:rFonts w:ascii="Verdana" w:hAnsi="Verdana" w:cs="Calibri"/>
          <w:bCs/>
          <w:color w:val="FF0000"/>
          <w:sz w:val="18"/>
          <w:szCs w:val="18"/>
          <w:lang w:val="es-ES"/>
        </w:rPr>
        <w:t>nvocatoria del concurso FAE 2015</w:t>
      </w:r>
      <w:r w:rsidR="001176F0" w:rsidRPr="00662EE8">
        <w:rPr>
          <w:rFonts w:ascii="Verdana" w:hAnsi="Verdana" w:cs="Calibri"/>
          <w:bCs/>
          <w:color w:val="FF0000"/>
          <w:sz w:val="18"/>
          <w:szCs w:val="18"/>
          <w:lang w:val="es-ES"/>
        </w:rPr>
        <w:t xml:space="preserve"> se desarrolló con todas sus etapas, es decir, desde la </w:t>
      </w:r>
      <w:r w:rsidR="007B1D73" w:rsidRPr="00662EE8">
        <w:rPr>
          <w:rFonts w:ascii="Verdana" w:hAnsi="Verdana" w:cs="Calibri"/>
          <w:bCs/>
          <w:color w:val="FF0000"/>
          <w:sz w:val="18"/>
          <w:szCs w:val="18"/>
          <w:lang w:val="es-ES"/>
        </w:rPr>
        <w:t>formulación</w:t>
      </w:r>
      <w:r w:rsidR="001176F0" w:rsidRPr="00662EE8">
        <w:rPr>
          <w:rFonts w:ascii="Verdana" w:hAnsi="Verdana" w:cs="Calibri"/>
          <w:bCs/>
          <w:color w:val="FF0000"/>
          <w:sz w:val="18"/>
          <w:szCs w:val="18"/>
          <w:lang w:val="es-ES"/>
        </w:rPr>
        <w:t xml:space="preserve"> de las bases hasta la publicación de los resultados, </w:t>
      </w:r>
      <w:r w:rsidR="00662EE8" w:rsidRPr="00662EE8">
        <w:rPr>
          <w:rFonts w:ascii="Verdana" w:hAnsi="Verdana" w:cs="Calibri"/>
          <w:bCs/>
          <w:color w:val="FF0000"/>
          <w:sz w:val="18"/>
          <w:szCs w:val="18"/>
          <w:lang w:val="es-ES"/>
        </w:rPr>
        <w:t>entre Marzo – Diciembre del 2014</w:t>
      </w:r>
      <w:r w:rsidR="001176F0" w:rsidRPr="00662EE8">
        <w:rPr>
          <w:rFonts w:ascii="Verdana" w:hAnsi="Verdana" w:cs="Calibri"/>
          <w:bCs/>
          <w:color w:val="FF0000"/>
          <w:sz w:val="18"/>
          <w:szCs w:val="18"/>
          <w:lang w:val="es-ES"/>
        </w:rPr>
        <w:t>,   contando por primera vez con la información de los proyectos ganadores previo al comienzo del año escolar, permitiendo entregar los recursos seleccionados en el primer trimestre del 2014</w:t>
      </w:r>
      <w:r w:rsidR="007B1D73" w:rsidRPr="00662EE8">
        <w:rPr>
          <w:rFonts w:ascii="Verdana" w:hAnsi="Verdana" w:cs="Calibri"/>
          <w:bCs/>
          <w:color w:val="FF0000"/>
          <w:sz w:val="18"/>
          <w:szCs w:val="18"/>
          <w:lang w:val="es-ES"/>
        </w:rPr>
        <w:t xml:space="preserve">. </w:t>
      </w:r>
    </w:p>
    <w:p w:rsidR="00C136EB" w:rsidRPr="00662EE8" w:rsidRDefault="00470598" w:rsidP="0055571B">
      <w:pPr>
        <w:spacing w:line="360" w:lineRule="auto"/>
        <w:ind w:firstLine="708"/>
        <w:jc w:val="both"/>
        <w:rPr>
          <w:rFonts w:ascii="Verdana" w:hAnsi="Verdana" w:cs="Calibri"/>
          <w:bCs/>
          <w:color w:val="FF0000"/>
          <w:sz w:val="18"/>
          <w:szCs w:val="18"/>
          <w:lang w:val="es-ES"/>
        </w:rPr>
      </w:pPr>
      <w:r w:rsidRPr="00662EE8">
        <w:rPr>
          <w:rFonts w:ascii="Verdana" w:hAnsi="Verdana" w:cs="Calibri"/>
          <w:bCs/>
          <w:color w:val="FF0000"/>
          <w:sz w:val="18"/>
          <w:szCs w:val="18"/>
          <w:lang w:val="es-ES"/>
        </w:rPr>
        <w:t xml:space="preserve">Para el caso de la convocatoria 2014, se revisó el comportamiento de los resultados del concurso 2013, con </w:t>
      </w:r>
      <w:r w:rsidR="00CD6BE3" w:rsidRPr="00662EE8">
        <w:rPr>
          <w:rFonts w:ascii="Verdana" w:hAnsi="Verdana" w:cs="Calibri"/>
          <w:bCs/>
          <w:color w:val="FF0000"/>
          <w:sz w:val="18"/>
          <w:szCs w:val="18"/>
          <w:lang w:val="es-ES"/>
        </w:rPr>
        <w:t>el objeto de realizar ajustes al diseño de las bases de postulación</w:t>
      </w:r>
      <w:r w:rsidR="00C136EB" w:rsidRPr="00662EE8">
        <w:rPr>
          <w:rFonts w:ascii="Verdana" w:hAnsi="Verdana" w:cs="Calibri"/>
          <w:bCs/>
          <w:color w:val="FF0000"/>
          <w:sz w:val="18"/>
          <w:szCs w:val="18"/>
          <w:lang w:val="es-ES"/>
        </w:rPr>
        <w:t>, en términos de líneas de postulación y modalidades.</w:t>
      </w:r>
      <w:r w:rsidR="001176F0" w:rsidRPr="00662EE8">
        <w:rPr>
          <w:rFonts w:ascii="Verdana" w:hAnsi="Verdana" w:cs="Calibri"/>
          <w:bCs/>
          <w:color w:val="FF0000"/>
          <w:sz w:val="18"/>
          <w:szCs w:val="18"/>
          <w:lang w:val="es-ES"/>
        </w:rPr>
        <w:t xml:space="preserve"> </w:t>
      </w:r>
      <w:r w:rsidRPr="00662EE8">
        <w:rPr>
          <w:rFonts w:ascii="Verdana" w:hAnsi="Verdana" w:cs="Calibri"/>
          <w:bCs/>
          <w:color w:val="FF0000"/>
          <w:sz w:val="18"/>
          <w:szCs w:val="18"/>
          <w:lang w:val="es-ES"/>
        </w:rPr>
        <w:t xml:space="preserve"> </w:t>
      </w:r>
    </w:p>
    <w:p w:rsidR="0086408C" w:rsidRPr="00662EE8" w:rsidRDefault="00F8697C" w:rsidP="0055571B">
      <w:pPr>
        <w:spacing w:line="360" w:lineRule="auto"/>
        <w:ind w:firstLine="708"/>
        <w:jc w:val="both"/>
        <w:rPr>
          <w:rFonts w:ascii="Verdana" w:hAnsi="Verdana" w:cs="Calibri"/>
          <w:bCs/>
          <w:color w:val="FF0000"/>
          <w:sz w:val="18"/>
          <w:szCs w:val="18"/>
          <w:lang w:val="es-ES"/>
        </w:rPr>
      </w:pPr>
      <w:r w:rsidRPr="00662EE8">
        <w:rPr>
          <w:rFonts w:ascii="Verdana" w:hAnsi="Verdana" w:cs="Calibri"/>
          <w:bCs/>
          <w:color w:val="FF0000"/>
          <w:sz w:val="18"/>
          <w:szCs w:val="18"/>
          <w:lang w:val="es-ES"/>
        </w:rPr>
        <w:t>En cuanto a las bases de la convocatoria 2014,</w:t>
      </w:r>
      <w:r w:rsidR="00FE331C" w:rsidRPr="00662EE8">
        <w:rPr>
          <w:rFonts w:ascii="Verdana" w:hAnsi="Verdana" w:cs="Calibri"/>
          <w:bCs/>
          <w:color w:val="FF0000"/>
          <w:sz w:val="18"/>
          <w:szCs w:val="18"/>
          <w:lang w:val="es-ES"/>
        </w:rPr>
        <w:t xml:space="preserve"> </w:t>
      </w:r>
      <w:r w:rsidRPr="00662EE8">
        <w:rPr>
          <w:rFonts w:ascii="Verdana" w:hAnsi="Verdana" w:cs="Calibri"/>
          <w:bCs/>
          <w:color w:val="FF0000"/>
          <w:sz w:val="18"/>
          <w:szCs w:val="18"/>
          <w:lang w:val="es-ES"/>
        </w:rPr>
        <w:t xml:space="preserve">dentro de </w:t>
      </w:r>
      <w:r w:rsidR="00FE331C" w:rsidRPr="00662EE8">
        <w:rPr>
          <w:rFonts w:ascii="Verdana" w:hAnsi="Verdana" w:cs="Calibri"/>
          <w:bCs/>
          <w:color w:val="FF0000"/>
          <w:sz w:val="18"/>
          <w:szCs w:val="18"/>
          <w:lang w:val="es-ES"/>
        </w:rPr>
        <w:t>los ajustes que se estab</w:t>
      </w:r>
      <w:r w:rsidRPr="00662EE8">
        <w:rPr>
          <w:rFonts w:ascii="Verdana" w:hAnsi="Verdana" w:cs="Calibri"/>
          <w:bCs/>
          <w:color w:val="FF0000"/>
          <w:sz w:val="18"/>
          <w:szCs w:val="18"/>
          <w:lang w:val="es-ES"/>
        </w:rPr>
        <w:t>lecieron</w:t>
      </w:r>
      <w:r w:rsidR="00FE331C" w:rsidRPr="00662EE8">
        <w:rPr>
          <w:rFonts w:ascii="Verdana" w:hAnsi="Verdana" w:cs="Calibri"/>
          <w:bCs/>
          <w:color w:val="FF0000"/>
          <w:sz w:val="18"/>
          <w:szCs w:val="18"/>
          <w:lang w:val="es-ES"/>
        </w:rPr>
        <w:t>, fue</w:t>
      </w:r>
      <w:r w:rsidRPr="00662EE8">
        <w:rPr>
          <w:rFonts w:ascii="Verdana" w:hAnsi="Verdana" w:cs="Calibri"/>
          <w:bCs/>
          <w:color w:val="FF0000"/>
          <w:sz w:val="18"/>
          <w:szCs w:val="18"/>
          <w:lang w:val="es-ES"/>
        </w:rPr>
        <w:t xml:space="preserve"> la de</w:t>
      </w:r>
      <w:r w:rsidR="00FE331C" w:rsidRPr="00662EE8">
        <w:rPr>
          <w:rFonts w:ascii="Verdana" w:hAnsi="Verdana" w:cs="Calibri"/>
          <w:bCs/>
          <w:color w:val="FF0000"/>
          <w:sz w:val="18"/>
          <w:szCs w:val="18"/>
          <w:lang w:val="es-ES"/>
        </w:rPr>
        <w:t xml:space="preserve"> distinguir dos grandes líneas de postulación que tienen relación con los ámbitos formales y no formales </w:t>
      </w:r>
      <w:r w:rsidR="0086408C" w:rsidRPr="00662EE8">
        <w:rPr>
          <w:rFonts w:ascii="Verdana" w:hAnsi="Verdana" w:cs="Calibri"/>
          <w:bCs/>
          <w:color w:val="FF0000"/>
          <w:sz w:val="18"/>
          <w:szCs w:val="18"/>
          <w:lang w:val="es-ES"/>
        </w:rPr>
        <w:t xml:space="preserve">de la educación, así como también categorizar dentro de dichas líneas aquellas instituciones </w:t>
      </w:r>
      <w:r w:rsidR="00FE331C" w:rsidRPr="00662EE8">
        <w:rPr>
          <w:rFonts w:ascii="Verdana" w:hAnsi="Verdana" w:cs="Calibri"/>
          <w:bCs/>
          <w:color w:val="FF0000"/>
          <w:sz w:val="18"/>
          <w:szCs w:val="18"/>
          <w:lang w:val="es-ES"/>
        </w:rPr>
        <w:t xml:space="preserve"> </w:t>
      </w:r>
      <w:r w:rsidR="0086408C" w:rsidRPr="00662EE8">
        <w:rPr>
          <w:rFonts w:ascii="Verdana" w:hAnsi="Verdana" w:cs="Calibri"/>
          <w:bCs/>
          <w:color w:val="FF0000"/>
          <w:sz w:val="18"/>
          <w:szCs w:val="18"/>
          <w:lang w:val="es-ES"/>
        </w:rPr>
        <w:t xml:space="preserve">educativas y culturales reconocidas como escuelas artísticas </w:t>
      </w:r>
      <w:r w:rsidR="0074423F" w:rsidRPr="00662EE8">
        <w:rPr>
          <w:rFonts w:ascii="Verdana" w:hAnsi="Verdana" w:cs="Calibri"/>
          <w:bCs/>
          <w:color w:val="FF0000"/>
          <w:sz w:val="18"/>
          <w:szCs w:val="18"/>
          <w:lang w:val="es-ES"/>
        </w:rPr>
        <w:t xml:space="preserve">por el </w:t>
      </w:r>
      <w:proofErr w:type="spellStart"/>
      <w:r w:rsidR="0074423F" w:rsidRPr="00662EE8">
        <w:rPr>
          <w:rFonts w:ascii="Verdana" w:hAnsi="Verdana" w:cs="Calibri"/>
          <w:bCs/>
          <w:color w:val="FF0000"/>
          <w:sz w:val="18"/>
          <w:szCs w:val="18"/>
          <w:lang w:val="es-ES"/>
        </w:rPr>
        <w:t>mineduc</w:t>
      </w:r>
      <w:proofErr w:type="spellEnd"/>
      <w:r w:rsidR="0074423F" w:rsidRPr="00662EE8">
        <w:rPr>
          <w:rFonts w:ascii="Verdana" w:hAnsi="Verdana" w:cs="Calibri"/>
          <w:bCs/>
          <w:color w:val="FF0000"/>
          <w:sz w:val="18"/>
          <w:szCs w:val="18"/>
          <w:lang w:val="es-ES"/>
        </w:rPr>
        <w:t xml:space="preserve"> y aquellas instituciones educativas y culturales que fomentan el arte y la cultura desde la formación y la promoción de la educación artística. </w:t>
      </w:r>
      <w:r w:rsidR="0086408C" w:rsidRPr="00662EE8">
        <w:rPr>
          <w:rFonts w:ascii="Verdana" w:hAnsi="Verdana" w:cs="Calibri"/>
          <w:bCs/>
          <w:color w:val="FF0000"/>
          <w:sz w:val="18"/>
          <w:szCs w:val="18"/>
          <w:lang w:val="es-ES"/>
        </w:rPr>
        <w:t xml:space="preserve"> </w:t>
      </w:r>
    </w:p>
    <w:p w:rsidR="00B95749" w:rsidRDefault="00B95749" w:rsidP="0055571B">
      <w:pPr>
        <w:pStyle w:val="Ttulo1"/>
        <w:spacing w:line="360" w:lineRule="auto"/>
        <w:jc w:val="both"/>
        <w:rPr>
          <w:rFonts w:ascii="Verdana" w:hAnsi="Verdana" w:cs="Calibri"/>
          <w:bCs/>
          <w:color w:val="auto"/>
          <w:sz w:val="18"/>
          <w:szCs w:val="18"/>
          <w:lang w:val="es-ES" w:eastAsia="en-US"/>
        </w:rPr>
      </w:pPr>
    </w:p>
    <w:p w:rsidR="00C136EB" w:rsidRDefault="00C136EB" w:rsidP="0055571B">
      <w:pPr>
        <w:spacing w:line="360" w:lineRule="auto"/>
        <w:jc w:val="both"/>
        <w:rPr>
          <w:lang w:val="es-ES"/>
        </w:rPr>
      </w:pPr>
    </w:p>
    <w:p w:rsidR="00C136EB" w:rsidRDefault="00C136EB" w:rsidP="00C136EB">
      <w:pPr>
        <w:rPr>
          <w:lang w:val="es-ES"/>
        </w:rPr>
      </w:pPr>
    </w:p>
    <w:p w:rsidR="00C136EB" w:rsidRDefault="00C136EB" w:rsidP="00C136EB">
      <w:pPr>
        <w:rPr>
          <w:lang w:val="es-ES"/>
        </w:rPr>
      </w:pPr>
    </w:p>
    <w:p w:rsidR="00C136EB" w:rsidRDefault="00C136EB" w:rsidP="00C136EB">
      <w:pPr>
        <w:rPr>
          <w:lang w:val="es-ES"/>
        </w:rPr>
      </w:pPr>
    </w:p>
    <w:p w:rsidR="00C136EB" w:rsidRDefault="00C136EB" w:rsidP="00C136EB">
      <w:pPr>
        <w:rPr>
          <w:lang w:val="es-ES"/>
        </w:rPr>
      </w:pPr>
    </w:p>
    <w:p w:rsidR="00C136EB" w:rsidRDefault="00C136EB" w:rsidP="00C136EB">
      <w:pPr>
        <w:rPr>
          <w:lang w:val="es-ES"/>
        </w:rPr>
      </w:pPr>
    </w:p>
    <w:p w:rsidR="00C136EB" w:rsidRDefault="00C136EB" w:rsidP="00C136EB">
      <w:pPr>
        <w:rPr>
          <w:lang w:val="es-ES"/>
        </w:rPr>
      </w:pPr>
    </w:p>
    <w:p w:rsidR="00C136EB" w:rsidRDefault="00C136EB" w:rsidP="00C136EB">
      <w:pPr>
        <w:rPr>
          <w:lang w:val="es-ES"/>
        </w:rPr>
      </w:pPr>
    </w:p>
    <w:p w:rsidR="0055571B" w:rsidRDefault="0055571B" w:rsidP="00845D9D">
      <w:pPr>
        <w:rPr>
          <w:lang w:val="es-ES"/>
        </w:rPr>
      </w:pPr>
    </w:p>
    <w:p w:rsidR="00B941CF" w:rsidRPr="00845D9D" w:rsidRDefault="00B941CF" w:rsidP="00845D9D">
      <w:pPr>
        <w:rPr>
          <w:lang w:val="es-ES_tradnl" w:eastAsia="zh-TW"/>
        </w:rPr>
      </w:pPr>
    </w:p>
    <w:p w:rsidR="007F7871" w:rsidRDefault="00C136EB" w:rsidP="009E0AEC">
      <w:pPr>
        <w:pStyle w:val="Ttulo1"/>
        <w:rPr>
          <w:rFonts w:ascii="Verdana" w:hAnsi="Verdana"/>
          <w:noProof/>
          <w:sz w:val="28"/>
          <w:szCs w:val="28"/>
          <w:lang w:val="es-ES_tradnl"/>
        </w:rPr>
      </w:pPr>
      <w:r>
        <w:rPr>
          <w:rFonts w:ascii="Verdana" w:hAnsi="Verdana"/>
          <w:noProof/>
          <w:sz w:val="28"/>
          <w:szCs w:val="28"/>
          <w:lang w:val="es-ES_tradnl"/>
        </w:rPr>
        <w:lastRenderedPageBreak/>
        <w:t>D</w:t>
      </w:r>
      <w:r w:rsidR="00B941CF">
        <w:rPr>
          <w:rFonts w:ascii="Verdana" w:hAnsi="Verdana"/>
          <w:noProof/>
          <w:sz w:val="28"/>
          <w:szCs w:val="28"/>
          <w:lang w:val="es-ES_tradnl"/>
        </w:rPr>
        <w:t>ifusión</w:t>
      </w:r>
      <w:r w:rsidR="00FE331C">
        <w:rPr>
          <w:rFonts w:ascii="Verdana" w:hAnsi="Verdana"/>
          <w:noProof/>
          <w:sz w:val="28"/>
          <w:szCs w:val="28"/>
          <w:lang w:val="es-ES_tradnl"/>
        </w:rPr>
        <w:t>.</w:t>
      </w:r>
    </w:p>
    <w:p w:rsidR="007F7871" w:rsidRPr="007F7871" w:rsidRDefault="007F7871" w:rsidP="007F7871">
      <w:pPr>
        <w:rPr>
          <w:lang w:val="es-ES_tradnl" w:eastAsia="zh-TW"/>
        </w:rPr>
      </w:pPr>
    </w:p>
    <w:p w:rsidR="0055571B" w:rsidRPr="0055571B" w:rsidRDefault="00C136EB" w:rsidP="0055571B">
      <w:pPr>
        <w:spacing w:line="360" w:lineRule="auto"/>
        <w:ind w:firstLine="708"/>
        <w:jc w:val="both"/>
        <w:rPr>
          <w:rFonts w:ascii="Verdana" w:hAnsi="Verdana"/>
          <w:sz w:val="18"/>
          <w:szCs w:val="18"/>
          <w:lang w:val="es-ES_tradnl" w:eastAsia="zh-TW"/>
        </w:rPr>
      </w:pPr>
      <w:r w:rsidRPr="0055571B">
        <w:rPr>
          <w:rFonts w:ascii="Verdana" w:hAnsi="Verdana"/>
          <w:sz w:val="18"/>
          <w:szCs w:val="18"/>
          <w:lang w:val="es-ES_tradnl" w:eastAsia="zh-TW"/>
        </w:rPr>
        <w:t xml:space="preserve">La estrategia de difusión de la convocatoria 2014, se focalizó con los usuarios inscritos en el sitio web </w:t>
      </w:r>
      <w:hyperlink r:id="rId9" w:history="1">
        <w:r w:rsidRPr="0055571B">
          <w:rPr>
            <w:rStyle w:val="Hipervnculo"/>
            <w:rFonts w:ascii="Verdana" w:hAnsi="Verdana"/>
            <w:sz w:val="18"/>
            <w:szCs w:val="18"/>
            <w:lang w:val="es-ES_tradnl" w:eastAsia="zh-TW"/>
          </w:rPr>
          <w:t>www.estaciondelasartes.com</w:t>
        </w:r>
      </w:hyperlink>
      <w:r w:rsidRPr="0055571B">
        <w:rPr>
          <w:rFonts w:ascii="Verdana" w:hAnsi="Verdana"/>
          <w:sz w:val="18"/>
          <w:szCs w:val="18"/>
          <w:lang w:val="es-ES_tradnl" w:eastAsia="zh-TW"/>
        </w:rPr>
        <w:t xml:space="preserve"> , así como también la base de datos del programa Acciona</w:t>
      </w:r>
      <w:r w:rsidR="009E0AEC">
        <w:rPr>
          <w:rFonts w:ascii="Verdana" w:hAnsi="Verdana"/>
          <w:sz w:val="18"/>
          <w:szCs w:val="18"/>
          <w:lang w:val="es-ES_tradnl" w:eastAsia="zh-TW"/>
        </w:rPr>
        <w:t>, la red de escuelas artísticas</w:t>
      </w:r>
      <w:r w:rsidRPr="0055571B">
        <w:rPr>
          <w:rFonts w:ascii="Verdana" w:hAnsi="Verdana"/>
          <w:sz w:val="18"/>
          <w:szCs w:val="18"/>
          <w:lang w:val="es-ES_tradnl" w:eastAsia="zh-TW"/>
        </w:rPr>
        <w:t xml:space="preserve"> y los postulantes de convocatoria anteriores de FAE, informando vía correo electrónico la apertura del concurso. En cuanto a las direcciones regionales, estas fueron informadas mediante oficio </w:t>
      </w:r>
      <w:r w:rsidR="0055571B" w:rsidRPr="0055571B">
        <w:rPr>
          <w:rFonts w:ascii="Verdana" w:hAnsi="Verdana"/>
          <w:sz w:val="18"/>
          <w:szCs w:val="18"/>
          <w:lang w:val="es-ES_tradnl" w:eastAsia="zh-TW"/>
        </w:rPr>
        <w:t xml:space="preserve">n°869 con fecha 19 de Julio del 2013, respecto de la apertura y las </w:t>
      </w:r>
      <w:r w:rsidR="009E0AEC">
        <w:rPr>
          <w:rFonts w:ascii="Verdana" w:hAnsi="Verdana"/>
          <w:sz w:val="18"/>
          <w:szCs w:val="18"/>
          <w:lang w:val="es-ES_tradnl" w:eastAsia="zh-TW"/>
        </w:rPr>
        <w:t>orientaciones para los/as encar</w:t>
      </w:r>
      <w:r w:rsidR="0055571B" w:rsidRPr="0055571B">
        <w:rPr>
          <w:rFonts w:ascii="Verdana" w:hAnsi="Verdana"/>
          <w:sz w:val="18"/>
          <w:szCs w:val="18"/>
          <w:lang w:val="es-ES_tradnl" w:eastAsia="zh-TW"/>
        </w:rPr>
        <w:t>gados/as regionales de FAE, siendo reforzado además por el comunicado en la página institucional del CNCA.</w:t>
      </w:r>
    </w:p>
    <w:p w:rsidR="00C136EB" w:rsidRDefault="0055571B" w:rsidP="007F7871">
      <w:pPr>
        <w:spacing w:line="360" w:lineRule="auto"/>
        <w:ind w:firstLine="708"/>
        <w:jc w:val="both"/>
        <w:rPr>
          <w:rFonts w:ascii="Verdana" w:hAnsi="Verdana"/>
          <w:sz w:val="18"/>
          <w:szCs w:val="18"/>
          <w:lang w:val="es-ES_tradnl" w:eastAsia="zh-TW"/>
        </w:rPr>
      </w:pPr>
      <w:r w:rsidRPr="0055571B">
        <w:rPr>
          <w:rFonts w:ascii="Verdana" w:hAnsi="Verdana"/>
          <w:sz w:val="18"/>
          <w:szCs w:val="18"/>
          <w:lang w:val="es-ES_tradnl" w:eastAsia="zh-TW"/>
        </w:rPr>
        <w:t xml:space="preserve">Se desarrollaron capacitaciones por parte de la coordinación nacional de FAE en las comunas de Las Cabras y </w:t>
      </w:r>
      <w:proofErr w:type="spellStart"/>
      <w:r w:rsidR="009E0AEC">
        <w:rPr>
          <w:rFonts w:ascii="Verdana" w:hAnsi="Verdana"/>
          <w:sz w:val="18"/>
          <w:szCs w:val="18"/>
          <w:lang w:val="es-ES_tradnl" w:eastAsia="zh-TW"/>
        </w:rPr>
        <w:t>Marchigue</w:t>
      </w:r>
      <w:proofErr w:type="spellEnd"/>
      <w:r w:rsidR="009E0AEC">
        <w:rPr>
          <w:rFonts w:ascii="Verdana" w:hAnsi="Verdana"/>
          <w:sz w:val="18"/>
          <w:szCs w:val="18"/>
          <w:lang w:val="es-ES_tradnl" w:eastAsia="zh-TW"/>
        </w:rPr>
        <w:t xml:space="preserve"> (O’Higgins), Santiago </w:t>
      </w:r>
      <w:r w:rsidRPr="0055571B">
        <w:rPr>
          <w:rFonts w:ascii="Verdana" w:hAnsi="Verdana"/>
          <w:sz w:val="18"/>
          <w:szCs w:val="18"/>
          <w:lang w:val="es-ES_tradnl" w:eastAsia="zh-TW"/>
        </w:rPr>
        <w:t>(Metropolitana) y en la Serena (Coquimbo) en el marco del encuentro de Directores de Escuelas Artísticas</w:t>
      </w:r>
      <w:r w:rsidR="009E0AEC">
        <w:rPr>
          <w:rFonts w:ascii="Verdana" w:hAnsi="Verdana"/>
          <w:sz w:val="18"/>
          <w:szCs w:val="18"/>
          <w:lang w:val="es-ES_tradnl" w:eastAsia="zh-TW"/>
        </w:rPr>
        <w:t xml:space="preserve"> 2013</w:t>
      </w:r>
      <w:r w:rsidRPr="0055571B">
        <w:rPr>
          <w:rFonts w:ascii="Verdana" w:hAnsi="Verdana"/>
          <w:sz w:val="18"/>
          <w:szCs w:val="18"/>
          <w:lang w:val="es-ES_tradnl" w:eastAsia="zh-TW"/>
        </w:rPr>
        <w:t xml:space="preserve">. </w:t>
      </w:r>
    </w:p>
    <w:p w:rsidR="007F7871" w:rsidRPr="007F7871" w:rsidRDefault="007F7871" w:rsidP="007F7871">
      <w:pPr>
        <w:spacing w:line="360" w:lineRule="auto"/>
        <w:ind w:firstLine="708"/>
        <w:jc w:val="both"/>
        <w:rPr>
          <w:rFonts w:ascii="Verdana" w:hAnsi="Verdana"/>
          <w:sz w:val="18"/>
          <w:szCs w:val="18"/>
          <w:lang w:val="es-ES_tradnl" w:eastAsia="zh-TW"/>
        </w:rPr>
      </w:pPr>
    </w:p>
    <w:p w:rsidR="00B95749" w:rsidRPr="00B95749" w:rsidRDefault="009D1419" w:rsidP="00B95749">
      <w:pPr>
        <w:pStyle w:val="Ttulo1"/>
        <w:rPr>
          <w:rFonts w:ascii="Verdana" w:hAnsi="Verdana"/>
          <w:noProof/>
          <w:sz w:val="28"/>
          <w:szCs w:val="28"/>
          <w:lang w:val="es-ES_tradnl"/>
        </w:rPr>
      </w:pPr>
      <w:r>
        <w:rPr>
          <w:rFonts w:ascii="Verdana" w:hAnsi="Verdana"/>
          <w:noProof/>
          <w:sz w:val="28"/>
          <w:szCs w:val="28"/>
          <w:lang w:val="es-ES_tradnl"/>
        </w:rPr>
        <w:t>Postulación y selección</w:t>
      </w:r>
    </w:p>
    <w:p w:rsidR="00C136EB" w:rsidRPr="00AD762A" w:rsidRDefault="00C136EB" w:rsidP="00C136EB">
      <w:pPr>
        <w:pStyle w:val="Prrafodelista"/>
        <w:numPr>
          <w:ilvl w:val="1"/>
          <w:numId w:val="1"/>
        </w:numPr>
        <w:ind w:left="786"/>
        <w:rPr>
          <w:b/>
          <w:sz w:val="24"/>
          <w:szCs w:val="24"/>
          <w:lang w:val="es-ES_tradnl" w:eastAsia="zh-TW"/>
        </w:rPr>
      </w:pPr>
      <w:r w:rsidRPr="00AD762A">
        <w:rPr>
          <w:b/>
          <w:sz w:val="24"/>
          <w:szCs w:val="24"/>
          <w:lang w:val="es-ES_tradnl" w:eastAsia="zh-TW"/>
        </w:rPr>
        <w:t>Postulantes y seleccionados según líneas y categorías de postulación.</w:t>
      </w:r>
    </w:p>
    <w:p w:rsidR="00C136EB" w:rsidRPr="0055571B" w:rsidRDefault="00C136EB" w:rsidP="0055571B">
      <w:pPr>
        <w:spacing w:line="360" w:lineRule="auto"/>
        <w:ind w:firstLine="426"/>
        <w:jc w:val="both"/>
        <w:rPr>
          <w:rFonts w:ascii="Verdana" w:hAnsi="Verdana"/>
          <w:sz w:val="18"/>
          <w:szCs w:val="18"/>
          <w:lang w:val="es-ES_tradnl" w:eastAsia="zh-TW"/>
        </w:rPr>
      </w:pPr>
      <w:r w:rsidRPr="0055571B">
        <w:rPr>
          <w:rFonts w:ascii="Verdana" w:hAnsi="Verdana"/>
          <w:sz w:val="18"/>
          <w:szCs w:val="18"/>
          <w:lang w:val="es-ES_tradnl" w:eastAsia="zh-TW"/>
        </w:rPr>
        <w:t>La convocatoria FAE 2014 estableció dos Líneas de postulación según el tipo de educación que imparte la institución postulante, es decir, ámbito formal y ámbito no formal de educación artística, así como también se establecieron categorías para cada una de las líneas en términos de instituciones que desarrollan la “formación en educación artística” y las instituciones de “promoción de la educación artística”.</w:t>
      </w:r>
    </w:p>
    <w:tbl>
      <w:tblPr>
        <w:tblW w:w="9460" w:type="dxa"/>
        <w:tblInd w:w="55" w:type="dxa"/>
        <w:tblCellMar>
          <w:left w:w="70" w:type="dxa"/>
          <w:right w:w="70" w:type="dxa"/>
        </w:tblCellMar>
        <w:tblLook w:val="04A0" w:firstRow="1" w:lastRow="0" w:firstColumn="1" w:lastColumn="0" w:noHBand="0" w:noVBand="1"/>
      </w:tblPr>
      <w:tblGrid>
        <w:gridCol w:w="1800"/>
        <w:gridCol w:w="1320"/>
        <w:gridCol w:w="1300"/>
        <w:gridCol w:w="1660"/>
        <w:gridCol w:w="1600"/>
        <w:gridCol w:w="1780"/>
      </w:tblGrid>
      <w:tr w:rsidR="00C136EB" w:rsidRPr="00451063" w:rsidTr="00B941CF">
        <w:trPr>
          <w:trHeight w:val="780"/>
        </w:trPr>
        <w:tc>
          <w:tcPr>
            <w:tcW w:w="1800" w:type="dxa"/>
            <w:tcBorders>
              <w:top w:val="single" w:sz="8" w:space="0" w:color="auto"/>
              <w:left w:val="single" w:sz="8" w:space="0" w:color="auto"/>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Proyectos iniciados en plataforma</w:t>
            </w:r>
          </w:p>
        </w:tc>
        <w:tc>
          <w:tcPr>
            <w:tcW w:w="1320" w:type="dxa"/>
            <w:tcBorders>
              <w:top w:val="single" w:sz="8" w:space="0" w:color="auto"/>
              <w:left w:val="nil"/>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Postulados en Plataforma</w:t>
            </w:r>
          </w:p>
        </w:tc>
        <w:tc>
          <w:tcPr>
            <w:tcW w:w="1300" w:type="dxa"/>
            <w:tcBorders>
              <w:top w:val="single" w:sz="8" w:space="0" w:color="auto"/>
              <w:left w:val="nil"/>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Recibidos por correo (Papel)</w:t>
            </w:r>
          </w:p>
        </w:tc>
        <w:tc>
          <w:tcPr>
            <w:tcW w:w="1660" w:type="dxa"/>
            <w:tcBorders>
              <w:top w:val="single" w:sz="8" w:space="0" w:color="auto"/>
              <w:left w:val="nil"/>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Total de Proyectos Postulados</w:t>
            </w:r>
          </w:p>
        </w:tc>
        <w:tc>
          <w:tcPr>
            <w:tcW w:w="1600" w:type="dxa"/>
            <w:tcBorders>
              <w:top w:val="single" w:sz="8" w:space="0" w:color="auto"/>
              <w:left w:val="nil"/>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Línea 1 Educación Artística Formal</w:t>
            </w:r>
          </w:p>
        </w:tc>
        <w:tc>
          <w:tcPr>
            <w:tcW w:w="1780" w:type="dxa"/>
            <w:tcBorders>
              <w:top w:val="single" w:sz="8" w:space="0" w:color="auto"/>
              <w:left w:val="nil"/>
              <w:bottom w:val="single" w:sz="8" w:space="0" w:color="auto"/>
              <w:right w:val="single" w:sz="8" w:space="0" w:color="auto"/>
            </w:tcBorders>
            <w:shd w:val="clear" w:color="000000" w:fill="C4D79B"/>
            <w:vAlign w:val="center"/>
            <w:hideMark/>
          </w:tcPr>
          <w:p w:rsidR="00C136EB" w:rsidRPr="00451063" w:rsidRDefault="00C136EB" w:rsidP="00B941CF">
            <w:pPr>
              <w:spacing w:after="0" w:line="240" w:lineRule="auto"/>
              <w:rPr>
                <w:rFonts w:ascii="Calibri" w:eastAsia="Times New Roman" w:hAnsi="Calibri" w:cs="Calibri"/>
                <w:color w:val="000000"/>
                <w:sz w:val="20"/>
                <w:szCs w:val="20"/>
                <w:lang w:eastAsia="es-CL"/>
              </w:rPr>
            </w:pPr>
            <w:r w:rsidRPr="00451063">
              <w:rPr>
                <w:rFonts w:ascii="Calibri" w:eastAsia="Times New Roman" w:hAnsi="Calibri" w:cs="Calibri"/>
                <w:color w:val="000000"/>
                <w:sz w:val="20"/>
                <w:szCs w:val="20"/>
                <w:lang w:eastAsia="es-CL"/>
              </w:rPr>
              <w:t>Línea 2 Educación Artística No formal</w:t>
            </w:r>
          </w:p>
        </w:tc>
      </w:tr>
      <w:tr w:rsidR="00C136EB" w:rsidRPr="00451063" w:rsidTr="00B941CF">
        <w:trPr>
          <w:trHeight w:val="315"/>
        </w:trPr>
        <w:tc>
          <w:tcPr>
            <w:tcW w:w="1800" w:type="dxa"/>
            <w:tcBorders>
              <w:top w:val="nil"/>
              <w:left w:val="single" w:sz="8" w:space="0" w:color="auto"/>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618</w:t>
            </w:r>
            <w:bookmarkStart w:id="0" w:name="_GoBack"/>
            <w:bookmarkEnd w:id="0"/>
          </w:p>
        </w:tc>
        <w:tc>
          <w:tcPr>
            <w:tcW w:w="1320" w:type="dxa"/>
            <w:tcBorders>
              <w:top w:val="nil"/>
              <w:left w:val="nil"/>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208</w:t>
            </w:r>
          </w:p>
        </w:tc>
        <w:tc>
          <w:tcPr>
            <w:tcW w:w="1300" w:type="dxa"/>
            <w:tcBorders>
              <w:top w:val="nil"/>
              <w:left w:val="nil"/>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4</w:t>
            </w:r>
          </w:p>
        </w:tc>
        <w:tc>
          <w:tcPr>
            <w:tcW w:w="1660" w:type="dxa"/>
            <w:tcBorders>
              <w:top w:val="nil"/>
              <w:left w:val="nil"/>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212</w:t>
            </w:r>
          </w:p>
        </w:tc>
        <w:tc>
          <w:tcPr>
            <w:tcW w:w="1600" w:type="dxa"/>
            <w:tcBorders>
              <w:top w:val="nil"/>
              <w:left w:val="nil"/>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146</w:t>
            </w:r>
          </w:p>
        </w:tc>
        <w:tc>
          <w:tcPr>
            <w:tcW w:w="1780" w:type="dxa"/>
            <w:tcBorders>
              <w:top w:val="nil"/>
              <w:left w:val="nil"/>
              <w:bottom w:val="single" w:sz="8" w:space="0" w:color="auto"/>
              <w:right w:val="single" w:sz="8" w:space="0" w:color="auto"/>
            </w:tcBorders>
            <w:shd w:val="clear" w:color="000000" w:fill="EBF1DE"/>
            <w:noWrap/>
            <w:vAlign w:val="center"/>
            <w:hideMark/>
          </w:tcPr>
          <w:p w:rsidR="00C136EB" w:rsidRPr="00451063" w:rsidRDefault="00C136EB" w:rsidP="00B941CF">
            <w:pPr>
              <w:spacing w:after="0" w:line="240" w:lineRule="auto"/>
              <w:jc w:val="center"/>
              <w:rPr>
                <w:rFonts w:ascii="Calibri" w:eastAsia="Times New Roman" w:hAnsi="Calibri" w:cs="Calibri"/>
                <w:b/>
                <w:color w:val="000000"/>
                <w:sz w:val="20"/>
                <w:szCs w:val="20"/>
                <w:lang w:eastAsia="es-CL"/>
              </w:rPr>
            </w:pPr>
            <w:r w:rsidRPr="00451063">
              <w:rPr>
                <w:rFonts w:ascii="Calibri" w:eastAsia="Times New Roman" w:hAnsi="Calibri" w:cs="Calibri"/>
                <w:b/>
                <w:color w:val="000000"/>
                <w:sz w:val="20"/>
                <w:szCs w:val="20"/>
                <w:lang w:eastAsia="es-CL"/>
              </w:rPr>
              <w:t>66</w:t>
            </w:r>
          </w:p>
        </w:tc>
      </w:tr>
    </w:tbl>
    <w:p w:rsidR="00C136EB" w:rsidRDefault="00C136EB" w:rsidP="00C136EB">
      <w:pPr>
        <w:jc w:val="both"/>
        <w:rPr>
          <w:lang w:val="es-ES_tradnl" w:eastAsia="zh-TW"/>
        </w:rPr>
      </w:pPr>
    </w:p>
    <w:p w:rsidR="00C136EB" w:rsidRDefault="00C136EB" w:rsidP="0055571B">
      <w:pPr>
        <w:spacing w:line="360" w:lineRule="auto"/>
        <w:ind w:firstLine="426"/>
        <w:jc w:val="both"/>
        <w:rPr>
          <w:rFonts w:ascii="Verdana" w:hAnsi="Verdana"/>
          <w:sz w:val="18"/>
          <w:szCs w:val="18"/>
          <w:lang w:val="es-ES_tradnl" w:eastAsia="zh-TW"/>
        </w:rPr>
      </w:pPr>
      <w:r w:rsidRPr="0055571B">
        <w:rPr>
          <w:rFonts w:ascii="Verdana" w:hAnsi="Verdana"/>
          <w:sz w:val="18"/>
          <w:szCs w:val="18"/>
          <w:lang w:val="es-ES_tradnl" w:eastAsia="zh-TW"/>
        </w:rPr>
        <w:t xml:space="preserve">En cuanto a la cantidad de proyectos postulados, para esta convocatoria se presentaron </w:t>
      </w:r>
      <w:r w:rsidRPr="0055571B">
        <w:rPr>
          <w:rFonts w:ascii="Verdana" w:hAnsi="Verdana"/>
          <w:b/>
          <w:sz w:val="18"/>
          <w:szCs w:val="18"/>
          <w:lang w:val="es-ES_tradnl" w:eastAsia="zh-TW"/>
        </w:rPr>
        <w:t>212</w:t>
      </w:r>
      <w:r w:rsidRPr="0055571B">
        <w:rPr>
          <w:rFonts w:ascii="Verdana" w:hAnsi="Verdana"/>
          <w:sz w:val="18"/>
          <w:szCs w:val="18"/>
          <w:lang w:val="es-ES_tradnl" w:eastAsia="zh-TW"/>
        </w:rPr>
        <w:t xml:space="preserve"> proyectos, de los cuales se declararon </w:t>
      </w:r>
      <w:r w:rsidRPr="0055571B">
        <w:rPr>
          <w:rFonts w:ascii="Verdana" w:hAnsi="Verdana"/>
          <w:b/>
          <w:sz w:val="18"/>
          <w:szCs w:val="18"/>
          <w:lang w:val="es-ES_tradnl" w:eastAsia="zh-TW"/>
        </w:rPr>
        <w:t>49</w:t>
      </w:r>
      <w:r w:rsidRPr="0055571B">
        <w:rPr>
          <w:rFonts w:ascii="Verdana" w:hAnsi="Verdana"/>
          <w:sz w:val="18"/>
          <w:szCs w:val="18"/>
          <w:lang w:val="es-ES_tradnl" w:eastAsia="zh-TW"/>
        </w:rPr>
        <w:t xml:space="preserve"> proyectos Inadmisibles por bases y </w:t>
      </w:r>
      <w:r w:rsidRPr="0055571B">
        <w:rPr>
          <w:rFonts w:ascii="Verdana" w:hAnsi="Verdana"/>
          <w:b/>
          <w:sz w:val="18"/>
          <w:szCs w:val="18"/>
          <w:lang w:val="es-ES_tradnl" w:eastAsia="zh-TW"/>
        </w:rPr>
        <w:t>163</w:t>
      </w:r>
      <w:r w:rsidRPr="0055571B">
        <w:rPr>
          <w:rFonts w:ascii="Verdana" w:hAnsi="Verdana"/>
          <w:sz w:val="18"/>
          <w:szCs w:val="18"/>
          <w:lang w:val="es-ES_tradnl" w:eastAsia="zh-TW"/>
        </w:rPr>
        <w:t xml:space="preserve"> proyectos Admisibles que pa</w:t>
      </w:r>
      <w:r w:rsidR="00B941CF">
        <w:rPr>
          <w:rFonts w:ascii="Verdana" w:hAnsi="Verdana"/>
          <w:sz w:val="18"/>
          <w:szCs w:val="18"/>
          <w:lang w:val="es-ES_tradnl" w:eastAsia="zh-TW"/>
        </w:rPr>
        <w:t>saron a la respectiva etapa de e</w:t>
      </w:r>
      <w:r w:rsidRPr="0055571B">
        <w:rPr>
          <w:rFonts w:ascii="Verdana" w:hAnsi="Verdana"/>
          <w:sz w:val="18"/>
          <w:szCs w:val="18"/>
          <w:lang w:val="es-ES_tradnl" w:eastAsia="zh-TW"/>
        </w:rPr>
        <w:t xml:space="preserve">valuación regional y nacional. </w:t>
      </w:r>
    </w:p>
    <w:p w:rsidR="007F7871" w:rsidRDefault="007F7871" w:rsidP="0055571B">
      <w:pPr>
        <w:spacing w:line="360" w:lineRule="auto"/>
        <w:ind w:firstLine="426"/>
        <w:jc w:val="both"/>
        <w:rPr>
          <w:rFonts w:ascii="Verdana" w:hAnsi="Verdana"/>
          <w:sz w:val="18"/>
          <w:szCs w:val="18"/>
          <w:lang w:val="es-ES_tradnl" w:eastAsia="zh-TW"/>
        </w:rPr>
      </w:pPr>
    </w:p>
    <w:p w:rsidR="007F7871" w:rsidRDefault="007F7871" w:rsidP="0055571B">
      <w:pPr>
        <w:spacing w:line="360" w:lineRule="auto"/>
        <w:ind w:firstLine="426"/>
        <w:jc w:val="both"/>
        <w:rPr>
          <w:rFonts w:ascii="Verdana" w:hAnsi="Verdana"/>
          <w:sz w:val="18"/>
          <w:szCs w:val="18"/>
          <w:lang w:val="es-ES_tradnl" w:eastAsia="zh-TW"/>
        </w:rPr>
      </w:pPr>
    </w:p>
    <w:p w:rsidR="007F7871" w:rsidRDefault="007F7871" w:rsidP="0055571B">
      <w:pPr>
        <w:spacing w:line="360" w:lineRule="auto"/>
        <w:ind w:firstLine="426"/>
        <w:jc w:val="both"/>
        <w:rPr>
          <w:rFonts w:ascii="Verdana" w:hAnsi="Verdana"/>
          <w:sz w:val="18"/>
          <w:szCs w:val="18"/>
          <w:lang w:val="es-ES_tradnl" w:eastAsia="zh-TW"/>
        </w:rPr>
      </w:pPr>
    </w:p>
    <w:p w:rsidR="007F7871" w:rsidRDefault="007F7871" w:rsidP="0055571B">
      <w:pPr>
        <w:spacing w:line="360" w:lineRule="auto"/>
        <w:ind w:firstLine="426"/>
        <w:jc w:val="both"/>
        <w:rPr>
          <w:rFonts w:ascii="Verdana" w:hAnsi="Verdana"/>
          <w:sz w:val="18"/>
          <w:szCs w:val="18"/>
          <w:lang w:val="es-ES_tradnl" w:eastAsia="zh-TW"/>
        </w:rPr>
      </w:pPr>
    </w:p>
    <w:p w:rsidR="007F7871" w:rsidRPr="0055571B" w:rsidRDefault="007F7871" w:rsidP="0055571B">
      <w:pPr>
        <w:spacing w:line="360" w:lineRule="auto"/>
        <w:ind w:firstLine="426"/>
        <w:jc w:val="both"/>
        <w:rPr>
          <w:rFonts w:ascii="Verdana" w:hAnsi="Verdana"/>
          <w:sz w:val="18"/>
          <w:szCs w:val="18"/>
          <w:lang w:val="es-ES_tradnl" w:eastAsia="zh-TW"/>
        </w:rPr>
      </w:pPr>
    </w:p>
    <w:tbl>
      <w:tblPr>
        <w:tblW w:w="6182" w:type="dxa"/>
        <w:jc w:val="center"/>
        <w:tblCellMar>
          <w:left w:w="70" w:type="dxa"/>
          <w:right w:w="70" w:type="dxa"/>
        </w:tblCellMar>
        <w:tblLook w:val="04A0" w:firstRow="1" w:lastRow="0" w:firstColumn="1" w:lastColumn="0" w:noHBand="0" w:noVBand="1"/>
      </w:tblPr>
      <w:tblGrid>
        <w:gridCol w:w="2020"/>
        <w:gridCol w:w="2150"/>
        <w:gridCol w:w="2012"/>
      </w:tblGrid>
      <w:tr w:rsidR="00C136EB" w:rsidRPr="001C5D5F" w:rsidTr="00B941CF">
        <w:trPr>
          <w:trHeight w:val="451"/>
          <w:jc w:val="center"/>
        </w:trPr>
        <w:tc>
          <w:tcPr>
            <w:tcW w:w="2020"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lastRenderedPageBreak/>
              <w:t>Proyectos postulados</w:t>
            </w:r>
          </w:p>
        </w:tc>
        <w:tc>
          <w:tcPr>
            <w:tcW w:w="2150" w:type="dxa"/>
            <w:tcBorders>
              <w:top w:val="single" w:sz="4" w:space="0" w:color="auto"/>
              <w:left w:val="nil"/>
              <w:bottom w:val="single" w:sz="4" w:space="0" w:color="auto"/>
              <w:right w:val="single" w:sz="4" w:space="0" w:color="auto"/>
            </w:tcBorders>
            <w:shd w:val="clear" w:color="000000" w:fill="C4D79B"/>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t>Proyectos Inadmisibles</w:t>
            </w:r>
          </w:p>
        </w:tc>
        <w:tc>
          <w:tcPr>
            <w:tcW w:w="2012" w:type="dxa"/>
            <w:tcBorders>
              <w:top w:val="single" w:sz="4" w:space="0" w:color="auto"/>
              <w:left w:val="nil"/>
              <w:bottom w:val="single" w:sz="4" w:space="0" w:color="auto"/>
              <w:right w:val="single" w:sz="4" w:space="0" w:color="auto"/>
            </w:tcBorders>
            <w:shd w:val="clear" w:color="000000" w:fill="C4D79B"/>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t>Proyectos Admisibles</w:t>
            </w:r>
          </w:p>
        </w:tc>
      </w:tr>
      <w:tr w:rsidR="00C136EB" w:rsidRPr="001C5D5F" w:rsidTr="007F7871">
        <w:trPr>
          <w:trHeight w:val="274"/>
          <w:jc w:val="center"/>
        </w:trPr>
        <w:tc>
          <w:tcPr>
            <w:tcW w:w="2020" w:type="dxa"/>
            <w:tcBorders>
              <w:top w:val="nil"/>
              <w:left w:val="single" w:sz="4" w:space="0" w:color="auto"/>
              <w:bottom w:val="nil"/>
              <w:right w:val="single" w:sz="4" w:space="0" w:color="auto"/>
            </w:tcBorders>
            <w:shd w:val="clear" w:color="000000" w:fill="EBF1DE"/>
            <w:noWrap/>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t>212</w:t>
            </w:r>
          </w:p>
        </w:tc>
        <w:tc>
          <w:tcPr>
            <w:tcW w:w="2150" w:type="dxa"/>
            <w:tcBorders>
              <w:top w:val="nil"/>
              <w:left w:val="nil"/>
              <w:bottom w:val="nil"/>
              <w:right w:val="single" w:sz="4" w:space="0" w:color="auto"/>
            </w:tcBorders>
            <w:shd w:val="clear" w:color="000000" w:fill="EBF1DE"/>
            <w:noWrap/>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t>49</w:t>
            </w:r>
          </w:p>
        </w:tc>
        <w:tc>
          <w:tcPr>
            <w:tcW w:w="2012" w:type="dxa"/>
            <w:tcBorders>
              <w:top w:val="nil"/>
              <w:left w:val="nil"/>
              <w:bottom w:val="nil"/>
              <w:right w:val="single" w:sz="4" w:space="0" w:color="auto"/>
            </w:tcBorders>
            <w:shd w:val="clear" w:color="000000" w:fill="EBF1DE"/>
            <w:noWrap/>
            <w:vAlign w:val="center"/>
            <w:hideMark/>
          </w:tcPr>
          <w:p w:rsidR="00C136EB" w:rsidRPr="001C5D5F" w:rsidRDefault="00C136EB" w:rsidP="00B941CF">
            <w:pPr>
              <w:spacing w:after="0" w:line="240" w:lineRule="auto"/>
              <w:jc w:val="center"/>
              <w:rPr>
                <w:rFonts w:ascii="Calibri" w:eastAsia="Times New Roman" w:hAnsi="Calibri" w:cs="Calibri"/>
                <w:b/>
                <w:bCs/>
                <w:color w:val="000000"/>
                <w:sz w:val="20"/>
                <w:szCs w:val="20"/>
                <w:lang w:eastAsia="es-CL"/>
              </w:rPr>
            </w:pPr>
            <w:r w:rsidRPr="001C5D5F">
              <w:rPr>
                <w:rFonts w:ascii="Calibri" w:eastAsia="Times New Roman" w:hAnsi="Calibri" w:cs="Calibri"/>
                <w:b/>
                <w:bCs/>
                <w:color w:val="000000"/>
                <w:sz w:val="20"/>
                <w:szCs w:val="20"/>
                <w:lang w:eastAsia="es-CL"/>
              </w:rPr>
              <w:t>163</w:t>
            </w:r>
          </w:p>
        </w:tc>
      </w:tr>
      <w:tr w:rsidR="007F7871" w:rsidRPr="001C5D5F" w:rsidTr="00B941CF">
        <w:trPr>
          <w:trHeight w:val="274"/>
          <w:jc w:val="center"/>
        </w:trPr>
        <w:tc>
          <w:tcPr>
            <w:tcW w:w="2020" w:type="dxa"/>
            <w:tcBorders>
              <w:top w:val="nil"/>
              <w:left w:val="single" w:sz="4" w:space="0" w:color="auto"/>
              <w:bottom w:val="single" w:sz="4" w:space="0" w:color="auto"/>
              <w:right w:val="single" w:sz="4" w:space="0" w:color="auto"/>
            </w:tcBorders>
            <w:shd w:val="clear" w:color="000000" w:fill="EBF1DE"/>
            <w:noWrap/>
            <w:vAlign w:val="center"/>
          </w:tcPr>
          <w:p w:rsidR="007F7871" w:rsidRPr="001C5D5F" w:rsidRDefault="007F7871" w:rsidP="00B941CF">
            <w:pPr>
              <w:spacing w:after="0" w:line="240" w:lineRule="auto"/>
              <w:jc w:val="center"/>
              <w:rPr>
                <w:rFonts w:ascii="Calibri" w:eastAsia="Times New Roman" w:hAnsi="Calibri" w:cs="Calibri"/>
                <w:b/>
                <w:bCs/>
                <w:color w:val="000000"/>
                <w:sz w:val="20"/>
                <w:szCs w:val="20"/>
                <w:lang w:eastAsia="es-CL"/>
              </w:rPr>
            </w:pPr>
          </w:p>
        </w:tc>
        <w:tc>
          <w:tcPr>
            <w:tcW w:w="2150" w:type="dxa"/>
            <w:tcBorders>
              <w:top w:val="nil"/>
              <w:left w:val="nil"/>
              <w:bottom w:val="single" w:sz="4" w:space="0" w:color="auto"/>
              <w:right w:val="single" w:sz="4" w:space="0" w:color="auto"/>
            </w:tcBorders>
            <w:shd w:val="clear" w:color="000000" w:fill="EBF1DE"/>
            <w:noWrap/>
            <w:vAlign w:val="center"/>
          </w:tcPr>
          <w:p w:rsidR="007F7871" w:rsidRPr="001C5D5F" w:rsidRDefault="007F7871" w:rsidP="00B941CF">
            <w:pPr>
              <w:spacing w:after="0" w:line="240" w:lineRule="auto"/>
              <w:jc w:val="center"/>
              <w:rPr>
                <w:rFonts w:ascii="Calibri" w:eastAsia="Times New Roman" w:hAnsi="Calibri" w:cs="Calibri"/>
                <w:b/>
                <w:bCs/>
                <w:color w:val="000000"/>
                <w:sz w:val="20"/>
                <w:szCs w:val="20"/>
                <w:lang w:eastAsia="es-CL"/>
              </w:rPr>
            </w:pPr>
          </w:p>
        </w:tc>
        <w:tc>
          <w:tcPr>
            <w:tcW w:w="2012" w:type="dxa"/>
            <w:tcBorders>
              <w:top w:val="nil"/>
              <w:left w:val="nil"/>
              <w:bottom w:val="single" w:sz="4" w:space="0" w:color="auto"/>
              <w:right w:val="single" w:sz="4" w:space="0" w:color="auto"/>
            </w:tcBorders>
            <w:shd w:val="clear" w:color="000000" w:fill="EBF1DE"/>
            <w:noWrap/>
            <w:vAlign w:val="center"/>
          </w:tcPr>
          <w:p w:rsidR="007F7871" w:rsidRPr="001C5D5F" w:rsidRDefault="007F7871" w:rsidP="00B941CF">
            <w:pPr>
              <w:spacing w:after="0" w:line="240" w:lineRule="auto"/>
              <w:jc w:val="center"/>
              <w:rPr>
                <w:rFonts w:ascii="Calibri" w:eastAsia="Times New Roman" w:hAnsi="Calibri" w:cs="Calibri"/>
                <w:b/>
                <w:bCs/>
                <w:color w:val="000000"/>
                <w:sz w:val="20"/>
                <w:szCs w:val="20"/>
                <w:lang w:eastAsia="es-CL"/>
              </w:rPr>
            </w:pPr>
          </w:p>
        </w:tc>
      </w:tr>
    </w:tbl>
    <w:p w:rsidR="00C136EB" w:rsidRDefault="00C136EB" w:rsidP="00C136EB">
      <w:pPr>
        <w:jc w:val="center"/>
        <w:rPr>
          <w:lang w:val="es-ES_tradnl" w:eastAsia="zh-TW"/>
        </w:rPr>
      </w:pPr>
      <w:r>
        <w:rPr>
          <w:noProof/>
          <w:lang w:eastAsia="es-CL"/>
        </w:rPr>
        <w:drawing>
          <wp:inline distT="0" distB="0" distL="0" distR="0" wp14:anchorId="08FA4172" wp14:editId="03AD5808">
            <wp:extent cx="3876675" cy="152400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41CF" w:rsidRDefault="00C136EB" w:rsidP="009D1419">
      <w:pPr>
        <w:spacing w:line="360" w:lineRule="auto"/>
        <w:ind w:firstLine="426"/>
        <w:jc w:val="both"/>
        <w:rPr>
          <w:rFonts w:ascii="Verdana" w:hAnsi="Verdana"/>
          <w:sz w:val="18"/>
          <w:szCs w:val="18"/>
          <w:lang w:val="es-ES_tradnl" w:eastAsia="zh-TW"/>
        </w:rPr>
      </w:pPr>
      <w:r w:rsidRPr="00B941CF">
        <w:rPr>
          <w:rFonts w:ascii="Verdana" w:hAnsi="Verdana"/>
          <w:sz w:val="18"/>
          <w:szCs w:val="18"/>
          <w:lang w:val="es-ES_tradnl" w:eastAsia="zh-TW"/>
        </w:rPr>
        <w:t>Las causas de inadmisibilidad se establecen en las bases de postulación, y particularmente para esta convocatoria el comportamiento de los proyectos inadmisibles tenía relación con que dicho proyecto correspondiera con la línea de postulación, además de presentar la documentación obligatoria que se establecía para cada uno de los postulantes en sus res</w:t>
      </w:r>
      <w:r w:rsidR="009D1419">
        <w:rPr>
          <w:rFonts w:ascii="Verdana" w:hAnsi="Verdana"/>
          <w:sz w:val="18"/>
          <w:szCs w:val="18"/>
          <w:lang w:val="es-ES_tradnl" w:eastAsia="zh-TW"/>
        </w:rPr>
        <w:t>pectivas líneas y categorías.</w:t>
      </w:r>
    </w:p>
    <w:p w:rsidR="00C136EB" w:rsidRDefault="00C136EB" w:rsidP="00B941CF">
      <w:pPr>
        <w:spacing w:line="360" w:lineRule="auto"/>
        <w:ind w:firstLine="426"/>
        <w:jc w:val="both"/>
        <w:rPr>
          <w:rFonts w:ascii="Verdana" w:hAnsi="Verdana"/>
          <w:sz w:val="18"/>
          <w:szCs w:val="18"/>
          <w:lang w:val="es-ES_tradnl" w:eastAsia="zh-TW"/>
        </w:rPr>
      </w:pPr>
      <w:r w:rsidRPr="00B941CF">
        <w:rPr>
          <w:rFonts w:ascii="Verdana" w:hAnsi="Verdana"/>
          <w:sz w:val="18"/>
          <w:szCs w:val="18"/>
          <w:lang w:val="es-ES_tradnl" w:eastAsia="zh-TW"/>
        </w:rPr>
        <w:t xml:space="preserve">En cuanto a los proyectos presentados podemos señalar que la mayor cantidad de proyectos postulados y declarados admisibles se encuentra en la línea 1, específicamente en la categoría </w:t>
      </w:r>
      <w:r w:rsidRPr="00B941CF">
        <w:rPr>
          <w:rFonts w:ascii="Verdana" w:hAnsi="Verdana"/>
          <w:i/>
          <w:sz w:val="18"/>
          <w:szCs w:val="18"/>
          <w:lang w:val="es-ES_tradnl" w:eastAsia="zh-TW"/>
        </w:rPr>
        <w:t>1.b Escuelas y Liceos con integración de las artes</w:t>
      </w:r>
      <w:r w:rsidRPr="00B941CF">
        <w:rPr>
          <w:rFonts w:ascii="Verdana" w:hAnsi="Verdana"/>
          <w:sz w:val="18"/>
          <w:szCs w:val="18"/>
          <w:lang w:val="es-ES_tradnl" w:eastAsia="zh-TW"/>
        </w:rPr>
        <w:t xml:space="preserve">, línea y categoría que ha demostrado desde la primera convocatoria de FAE (2012) la misma tendencia respecto de la participación de sus pares.     </w:t>
      </w:r>
    </w:p>
    <w:p w:rsidR="00B941CF" w:rsidRPr="00B941CF" w:rsidRDefault="00B941CF" w:rsidP="00B941CF">
      <w:pPr>
        <w:spacing w:line="360" w:lineRule="auto"/>
        <w:ind w:firstLine="426"/>
        <w:jc w:val="both"/>
        <w:rPr>
          <w:rFonts w:ascii="Verdana" w:hAnsi="Verdana"/>
          <w:sz w:val="18"/>
          <w:szCs w:val="18"/>
          <w:lang w:val="es-ES_tradnl" w:eastAsia="zh-TW"/>
        </w:rPr>
      </w:pPr>
    </w:p>
    <w:tbl>
      <w:tblPr>
        <w:tblW w:w="7120" w:type="dxa"/>
        <w:jc w:val="center"/>
        <w:tblInd w:w="55" w:type="dxa"/>
        <w:tblCellMar>
          <w:left w:w="70" w:type="dxa"/>
          <w:right w:w="70" w:type="dxa"/>
        </w:tblCellMar>
        <w:tblLook w:val="04A0" w:firstRow="1" w:lastRow="0" w:firstColumn="1" w:lastColumn="0" w:noHBand="0" w:noVBand="1"/>
      </w:tblPr>
      <w:tblGrid>
        <w:gridCol w:w="5080"/>
        <w:gridCol w:w="1053"/>
        <w:gridCol w:w="1047"/>
      </w:tblGrid>
      <w:tr w:rsidR="00C136EB" w:rsidRPr="005858B6" w:rsidTr="00B941CF">
        <w:trPr>
          <w:trHeight w:val="300"/>
          <w:jc w:val="center"/>
        </w:trPr>
        <w:tc>
          <w:tcPr>
            <w:tcW w:w="508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Líneas 1, Educación artística Formal</w:t>
            </w:r>
          </w:p>
        </w:tc>
        <w:tc>
          <w:tcPr>
            <w:tcW w:w="104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 xml:space="preserve">Postulados </w:t>
            </w:r>
          </w:p>
        </w:tc>
        <w:tc>
          <w:tcPr>
            <w:tcW w:w="100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Admisibles</w:t>
            </w:r>
          </w:p>
        </w:tc>
      </w:tr>
      <w:tr w:rsidR="00C136EB" w:rsidRPr="005858B6"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D8E4BC"/>
            <w:vAlign w:val="center"/>
            <w:hideMark/>
          </w:tcPr>
          <w:p w:rsidR="00C136EB" w:rsidRPr="005858B6" w:rsidRDefault="00C136EB" w:rsidP="00B941CF">
            <w:pPr>
              <w:spacing w:after="0" w:line="240" w:lineRule="auto"/>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1.a Escuelas y Liceos Artísticos Especializados</w:t>
            </w:r>
          </w:p>
        </w:tc>
        <w:tc>
          <w:tcPr>
            <w:tcW w:w="1040" w:type="dxa"/>
            <w:tcBorders>
              <w:top w:val="nil"/>
              <w:left w:val="nil"/>
              <w:bottom w:val="single" w:sz="4" w:space="0" w:color="auto"/>
              <w:right w:val="single" w:sz="4" w:space="0" w:color="auto"/>
            </w:tcBorders>
            <w:shd w:val="clear" w:color="000000" w:fill="D8E4BC"/>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17</w:t>
            </w:r>
          </w:p>
        </w:tc>
        <w:tc>
          <w:tcPr>
            <w:tcW w:w="1000" w:type="dxa"/>
            <w:tcBorders>
              <w:top w:val="nil"/>
              <w:left w:val="nil"/>
              <w:bottom w:val="single" w:sz="4" w:space="0" w:color="auto"/>
              <w:right w:val="single" w:sz="4" w:space="0" w:color="auto"/>
            </w:tcBorders>
            <w:shd w:val="clear" w:color="000000" w:fill="D8E4BC"/>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15</w:t>
            </w:r>
          </w:p>
        </w:tc>
      </w:tr>
      <w:tr w:rsidR="00C136EB" w:rsidRPr="005858B6"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EBF1DE"/>
            <w:vAlign w:val="center"/>
            <w:hideMark/>
          </w:tcPr>
          <w:p w:rsidR="00C136EB" w:rsidRPr="005858B6" w:rsidRDefault="00C136EB" w:rsidP="00B941CF">
            <w:pPr>
              <w:spacing w:after="0" w:line="240" w:lineRule="auto"/>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1.b Escuelas y Liceos con Integración de las Artes</w:t>
            </w:r>
          </w:p>
        </w:tc>
        <w:tc>
          <w:tcPr>
            <w:tcW w:w="1040" w:type="dxa"/>
            <w:tcBorders>
              <w:top w:val="nil"/>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129</w:t>
            </w:r>
          </w:p>
        </w:tc>
        <w:tc>
          <w:tcPr>
            <w:tcW w:w="1000" w:type="dxa"/>
            <w:tcBorders>
              <w:top w:val="nil"/>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102</w:t>
            </w:r>
          </w:p>
        </w:tc>
      </w:tr>
      <w:tr w:rsidR="00C136EB" w:rsidRPr="005858B6" w:rsidTr="00B941CF">
        <w:trPr>
          <w:trHeight w:val="300"/>
          <w:jc w:val="center"/>
        </w:trPr>
        <w:tc>
          <w:tcPr>
            <w:tcW w:w="5080" w:type="dxa"/>
            <w:tcBorders>
              <w:top w:val="nil"/>
              <w:left w:val="single" w:sz="4" w:space="0" w:color="auto"/>
              <w:bottom w:val="single" w:sz="4" w:space="0" w:color="auto"/>
              <w:right w:val="single" w:sz="4" w:space="0" w:color="auto"/>
            </w:tcBorders>
            <w:shd w:val="clear" w:color="auto" w:fill="auto"/>
            <w:noWrap/>
            <w:vAlign w:val="center"/>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Total</w:t>
            </w:r>
          </w:p>
        </w:tc>
        <w:tc>
          <w:tcPr>
            <w:tcW w:w="1040" w:type="dxa"/>
            <w:tcBorders>
              <w:top w:val="nil"/>
              <w:left w:val="nil"/>
              <w:bottom w:val="single" w:sz="4" w:space="0" w:color="auto"/>
              <w:right w:val="single" w:sz="4" w:space="0" w:color="auto"/>
            </w:tcBorders>
            <w:shd w:val="clear" w:color="auto" w:fill="auto"/>
            <w:noWrap/>
            <w:vAlign w:val="center"/>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146</w:t>
            </w:r>
          </w:p>
        </w:tc>
        <w:tc>
          <w:tcPr>
            <w:tcW w:w="1000" w:type="dxa"/>
            <w:tcBorders>
              <w:top w:val="nil"/>
              <w:left w:val="nil"/>
              <w:bottom w:val="single" w:sz="4" w:space="0" w:color="auto"/>
              <w:right w:val="single" w:sz="4" w:space="0" w:color="auto"/>
            </w:tcBorders>
            <w:shd w:val="clear" w:color="auto" w:fill="auto"/>
            <w:noWrap/>
            <w:vAlign w:val="center"/>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117</w:t>
            </w:r>
          </w:p>
        </w:tc>
      </w:tr>
    </w:tbl>
    <w:p w:rsidR="00C136EB" w:rsidRPr="001D30C1" w:rsidRDefault="00C136EB" w:rsidP="00C136EB">
      <w:pPr>
        <w:spacing w:line="360" w:lineRule="auto"/>
        <w:jc w:val="both"/>
        <w:rPr>
          <w:lang w:val="es-ES_tradnl" w:eastAsia="zh-TW"/>
        </w:rPr>
      </w:pPr>
    </w:p>
    <w:tbl>
      <w:tblPr>
        <w:tblW w:w="7120" w:type="dxa"/>
        <w:jc w:val="center"/>
        <w:tblInd w:w="55" w:type="dxa"/>
        <w:tblCellMar>
          <w:left w:w="70" w:type="dxa"/>
          <w:right w:w="70" w:type="dxa"/>
        </w:tblCellMar>
        <w:tblLook w:val="04A0" w:firstRow="1" w:lastRow="0" w:firstColumn="1" w:lastColumn="0" w:noHBand="0" w:noVBand="1"/>
      </w:tblPr>
      <w:tblGrid>
        <w:gridCol w:w="5080"/>
        <w:gridCol w:w="1053"/>
        <w:gridCol w:w="1047"/>
      </w:tblGrid>
      <w:tr w:rsidR="00C136EB" w:rsidRPr="005858B6" w:rsidTr="00B941CF">
        <w:trPr>
          <w:trHeight w:val="300"/>
          <w:jc w:val="center"/>
        </w:trPr>
        <w:tc>
          <w:tcPr>
            <w:tcW w:w="508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Línea 2, Educación artística No Formal</w:t>
            </w:r>
          </w:p>
        </w:tc>
        <w:tc>
          <w:tcPr>
            <w:tcW w:w="104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 xml:space="preserve">Postulados </w:t>
            </w:r>
          </w:p>
        </w:tc>
        <w:tc>
          <w:tcPr>
            <w:tcW w:w="100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rPr>
                <w:rFonts w:ascii="Calibri" w:eastAsia="Times New Roman" w:hAnsi="Calibri" w:cs="Calibri"/>
                <w:b/>
                <w:bCs/>
                <w:color w:val="000000"/>
                <w:sz w:val="20"/>
                <w:szCs w:val="20"/>
                <w:lang w:eastAsia="es-CL"/>
              </w:rPr>
            </w:pPr>
            <w:r w:rsidRPr="005858B6">
              <w:rPr>
                <w:rFonts w:ascii="Calibri" w:eastAsia="Times New Roman" w:hAnsi="Calibri" w:cs="Calibri"/>
                <w:b/>
                <w:bCs/>
                <w:color w:val="000000"/>
                <w:sz w:val="20"/>
                <w:szCs w:val="20"/>
                <w:lang w:eastAsia="es-CL"/>
              </w:rPr>
              <w:t>Admisibles</w:t>
            </w:r>
          </w:p>
        </w:tc>
      </w:tr>
      <w:tr w:rsidR="00C136EB" w:rsidRPr="005858B6"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D8E4BC"/>
            <w:vAlign w:val="center"/>
            <w:hideMark/>
          </w:tcPr>
          <w:p w:rsidR="00C136EB" w:rsidRPr="005858B6" w:rsidRDefault="00C136EB" w:rsidP="00B941CF">
            <w:pPr>
              <w:spacing w:after="0" w:line="240" w:lineRule="auto"/>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2.a Instituciones Artístico Culturales  de Formación Artística</w:t>
            </w:r>
          </w:p>
        </w:tc>
        <w:tc>
          <w:tcPr>
            <w:tcW w:w="1040" w:type="dxa"/>
            <w:tcBorders>
              <w:top w:val="nil"/>
              <w:left w:val="nil"/>
              <w:bottom w:val="single" w:sz="4" w:space="0" w:color="auto"/>
              <w:right w:val="single" w:sz="4" w:space="0" w:color="auto"/>
            </w:tcBorders>
            <w:shd w:val="clear" w:color="000000" w:fill="D8E4BC"/>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26</w:t>
            </w:r>
          </w:p>
        </w:tc>
        <w:tc>
          <w:tcPr>
            <w:tcW w:w="1000" w:type="dxa"/>
            <w:tcBorders>
              <w:top w:val="nil"/>
              <w:left w:val="nil"/>
              <w:bottom w:val="single" w:sz="4" w:space="0" w:color="auto"/>
              <w:right w:val="single" w:sz="4" w:space="0" w:color="auto"/>
            </w:tcBorders>
            <w:shd w:val="clear" w:color="000000" w:fill="D8E4BC"/>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17</w:t>
            </w:r>
          </w:p>
        </w:tc>
      </w:tr>
      <w:tr w:rsidR="00C136EB" w:rsidRPr="005858B6"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EBF1DE"/>
            <w:vAlign w:val="center"/>
            <w:hideMark/>
          </w:tcPr>
          <w:p w:rsidR="00C136EB" w:rsidRPr="005858B6" w:rsidRDefault="00C136EB" w:rsidP="00B941CF">
            <w:pPr>
              <w:spacing w:after="0" w:line="240" w:lineRule="auto"/>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2.b Instituciones Artístico Culturales de Promoción Artística</w:t>
            </w:r>
          </w:p>
        </w:tc>
        <w:tc>
          <w:tcPr>
            <w:tcW w:w="1040" w:type="dxa"/>
            <w:tcBorders>
              <w:top w:val="nil"/>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40</w:t>
            </w:r>
          </w:p>
        </w:tc>
        <w:tc>
          <w:tcPr>
            <w:tcW w:w="1000" w:type="dxa"/>
            <w:tcBorders>
              <w:top w:val="nil"/>
              <w:left w:val="nil"/>
              <w:bottom w:val="single" w:sz="4" w:space="0" w:color="auto"/>
              <w:right w:val="single" w:sz="4" w:space="0" w:color="auto"/>
            </w:tcBorders>
            <w:shd w:val="clear" w:color="000000" w:fill="EBF1DE"/>
            <w:noWrap/>
            <w:vAlign w:val="center"/>
            <w:hideMark/>
          </w:tcPr>
          <w:p w:rsidR="00C136EB" w:rsidRPr="005858B6" w:rsidRDefault="00C136EB" w:rsidP="00B941CF">
            <w:pPr>
              <w:spacing w:after="0" w:line="240" w:lineRule="auto"/>
              <w:jc w:val="center"/>
              <w:rPr>
                <w:rFonts w:ascii="Calibri" w:eastAsia="Times New Roman" w:hAnsi="Calibri" w:cs="Calibri"/>
                <w:color w:val="000000"/>
                <w:sz w:val="18"/>
                <w:szCs w:val="18"/>
                <w:lang w:eastAsia="es-CL"/>
              </w:rPr>
            </w:pPr>
            <w:r w:rsidRPr="005858B6">
              <w:rPr>
                <w:rFonts w:ascii="Calibri" w:eastAsia="Times New Roman" w:hAnsi="Calibri" w:cs="Calibri"/>
                <w:color w:val="000000"/>
                <w:sz w:val="18"/>
                <w:szCs w:val="18"/>
                <w:lang w:eastAsia="es-CL"/>
              </w:rPr>
              <w:t>29</w:t>
            </w:r>
          </w:p>
        </w:tc>
      </w:tr>
      <w:tr w:rsidR="00C136EB" w:rsidRPr="005858B6" w:rsidTr="00B941CF">
        <w:trPr>
          <w:trHeight w:val="300"/>
          <w:jc w:val="center"/>
        </w:trPr>
        <w:tc>
          <w:tcPr>
            <w:tcW w:w="5080" w:type="dxa"/>
            <w:tcBorders>
              <w:top w:val="nil"/>
              <w:left w:val="single" w:sz="4" w:space="0" w:color="auto"/>
              <w:bottom w:val="nil"/>
              <w:right w:val="single" w:sz="4" w:space="0" w:color="auto"/>
            </w:tcBorders>
            <w:shd w:val="clear" w:color="auto" w:fill="auto"/>
            <w:noWrap/>
            <w:vAlign w:val="bottom"/>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Total</w:t>
            </w:r>
          </w:p>
        </w:tc>
        <w:tc>
          <w:tcPr>
            <w:tcW w:w="1040" w:type="dxa"/>
            <w:tcBorders>
              <w:top w:val="nil"/>
              <w:left w:val="nil"/>
              <w:bottom w:val="nil"/>
              <w:right w:val="single" w:sz="4" w:space="0" w:color="auto"/>
            </w:tcBorders>
            <w:shd w:val="clear" w:color="auto" w:fill="auto"/>
            <w:noWrap/>
            <w:vAlign w:val="bottom"/>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66</w:t>
            </w:r>
          </w:p>
        </w:tc>
        <w:tc>
          <w:tcPr>
            <w:tcW w:w="1000" w:type="dxa"/>
            <w:tcBorders>
              <w:top w:val="nil"/>
              <w:left w:val="nil"/>
              <w:bottom w:val="nil"/>
              <w:right w:val="single" w:sz="4" w:space="0" w:color="auto"/>
            </w:tcBorders>
            <w:shd w:val="clear" w:color="auto" w:fill="auto"/>
            <w:noWrap/>
            <w:vAlign w:val="bottom"/>
            <w:hideMark/>
          </w:tcPr>
          <w:p w:rsidR="00C136EB" w:rsidRPr="005858B6" w:rsidRDefault="00C136EB" w:rsidP="00B941CF">
            <w:pPr>
              <w:spacing w:after="0" w:line="240" w:lineRule="auto"/>
              <w:jc w:val="center"/>
              <w:rPr>
                <w:rFonts w:ascii="Calibri" w:eastAsia="Times New Roman" w:hAnsi="Calibri" w:cs="Calibri"/>
                <w:b/>
                <w:bCs/>
                <w:color w:val="000000"/>
                <w:lang w:eastAsia="es-CL"/>
              </w:rPr>
            </w:pPr>
            <w:r w:rsidRPr="005858B6">
              <w:rPr>
                <w:rFonts w:ascii="Calibri" w:eastAsia="Times New Roman" w:hAnsi="Calibri" w:cs="Calibri"/>
                <w:b/>
                <w:bCs/>
                <w:color w:val="000000"/>
                <w:lang w:eastAsia="es-CL"/>
              </w:rPr>
              <w:t>46</w:t>
            </w:r>
          </w:p>
        </w:tc>
      </w:tr>
      <w:tr w:rsidR="00B941CF" w:rsidRPr="005858B6" w:rsidTr="00B941CF">
        <w:trPr>
          <w:trHeight w:val="80"/>
          <w:jc w:val="center"/>
        </w:trPr>
        <w:tc>
          <w:tcPr>
            <w:tcW w:w="5080" w:type="dxa"/>
            <w:tcBorders>
              <w:top w:val="nil"/>
              <w:left w:val="single" w:sz="4" w:space="0" w:color="auto"/>
              <w:bottom w:val="single" w:sz="4" w:space="0" w:color="auto"/>
              <w:right w:val="single" w:sz="4" w:space="0" w:color="auto"/>
            </w:tcBorders>
            <w:shd w:val="clear" w:color="auto" w:fill="auto"/>
            <w:noWrap/>
            <w:vAlign w:val="bottom"/>
          </w:tcPr>
          <w:p w:rsidR="00B941CF" w:rsidRPr="005858B6" w:rsidRDefault="00B941CF" w:rsidP="00B941CF">
            <w:pPr>
              <w:spacing w:after="0" w:line="240" w:lineRule="auto"/>
              <w:rPr>
                <w:rFonts w:ascii="Calibri" w:eastAsia="Times New Roman" w:hAnsi="Calibri" w:cs="Calibri"/>
                <w:b/>
                <w:bCs/>
                <w:color w:val="000000"/>
                <w:lang w:eastAsia="es-CL"/>
              </w:rPr>
            </w:pPr>
          </w:p>
        </w:tc>
        <w:tc>
          <w:tcPr>
            <w:tcW w:w="1040" w:type="dxa"/>
            <w:tcBorders>
              <w:top w:val="nil"/>
              <w:left w:val="nil"/>
              <w:bottom w:val="single" w:sz="4" w:space="0" w:color="auto"/>
              <w:right w:val="single" w:sz="4" w:space="0" w:color="auto"/>
            </w:tcBorders>
            <w:shd w:val="clear" w:color="auto" w:fill="auto"/>
            <w:noWrap/>
            <w:vAlign w:val="bottom"/>
          </w:tcPr>
          <w:p w:rsidR="00B941CF" w:rsidRPr="005858B6" w:rsidRDefault="00B941CF" w:rsidP="00B941CF">
            <w:pPr>
              <w:spacing w:after="0" w:line="240" w:lineRule="auto"/>
              <w:jc w:val="center"/>
              <w:rPr>
                <w:rFonts w:ascii="Calibri" w:eastAsia="Times New Roman" w:hAnsi="Calibri" w:cs="Calibri"/>
                <w:b/>
                <w:bCs/>
                <w:color w:val="000000"/>
                <w:lang w:eastAsia="es-CL"/>
              </w:rPr>
            </w:pPr>
          </w:p>
        </w:tc>
        <w:tc>
          <w:tcPr>
            <w:tcW w:w="1000" w:type="dxa"/>
            <w:tcBorders>
              <w:top w:val="nil"/>
              <w:left w:val="nil"/>
              <w:bottom w:val="single" w:sz="4" w:space="0" w:color="auto"/>
              <w:right w:val="single" w:sz="4" w:space="0" w:color="auto"/>
            </w:tcBorders>
            <w:shd w:val="clear" w:color="auto" w:fill="auto"/>
            <w:noWrap/>
            <w:vAlign w:val="bottom"/>
          </w:tcPr>
          <w:p w:rsidR="00B941CF" w:rsidRPr="005858B6" w:rsidRDefault="00B941CF" w:rsidP="00B941CF">
            <w:pPr>
              <w:spacing w:after="0" w:line="240" w:lineRule="auto"/>
              <w:jc w:val="center"/>
              <w:rPr>
                <w:rFonts w:ascii="Calibri" w:eastAsia="Times New Roman" w:hAnsi="Calibri" w:cs="Calibri"/>
                <w:b/>
                <w:bCs/>
                <w:color w:val="000000"/>
                <w:lang w:eastAsia="es-CL"/>
              </w:rPr>
            </w:pPr>
          </w:p>
        </w:tc>
      </w:tr>
    </w:tbl>
    <w:p w:rsidR="00B941CF" w:rsidRPr="00B941CF" w:rsidRDefault="00B941CF" w:rsidP="00B941CF">
      <w:pPr>
        <w:spacing w:line="360" w:lineRule="auto"/>
        <w:ind w:firstLine="471"/>
        <w:jc w:val="both"/>
        <w:rPr>
          <w:rFonts w:ascii="Verdana" w:hAnsi="Verdana"/>
          <w:sz w:val="18"/>
          <w:szCs w:val="18"/>
          <w:lang w:val="es-ES_tradnl" w:eastAsia="zh-TW"/>
        </w:rPr>
      </w:pPr>
    </w:p>
    <w:p w:rsidR="00C136EB" w:rsidRPr="00B941CF" w:rsidRDefault="00C136EB" w:rsidP="00B941CF">
      <w:pPr>
        <w:spacing w:line="360" w:lineRule="auto"/>
        <w:ind w:firstLine="471"/>
        <w:jc w:val="both"/>
        <w:rPr>
          <w:rFonts w:ascii="Verdana" w:hAnsi="Verdana"/>
          <w:sz w:val="18"/>
          <w:szCs w:val="18"/>
          <w:lang w:val="es-ES_tradnl" w:eastAsia="zh-TW"/>
        </w:rPr>
      </w:pPr>
      <w:r w:rsidRPr="00B941CF">
        <w:rPr>
          <w:rFonts w:ascii="Verdana" w:hAnsi="Verdana"/>
          <w:sz w:val="18"/>
          <w:szCs w:val="18"/>
          <w:lang w:val="es-ES_tradnl" w:eastAsia="zh-TW"/>
        </w:rPr>
        <w:t xml:space="preserve">En cuanto a los proyectos que pasaron la etapa de admisibilidad y respectiva evaluación, podemos señalar que de los </w:t>
      </w:r>
      <w:r w:rsidRPr="00B941CF">
        <w:rPr>
          <w:rFonts w:ascii="Verdana" w:hAnsi="Verdana"/>
          <w:b/>
          <w:sz w:val="18"/>
          <w:szCs w:val="18"/>
          <w:lang w:val="es-ES_tradnl" w:eastAsia="zh-TW"/>
        </w:rPr>
        <w:t>163</w:t>
      </w:r>
      <w:r w:rsidRPr="00B941CF">
        <w:rPr>
          <w:rFonts w:ascii="Verdana" w:hAnsi="Verdana"/>
          <w:sz w:val="18"/>
          <w:szCs w:val="18"/>
          <w:lang w:val="es-ES_tradnl" w:eastAsia="zh-TW"/>
        </w:rPr>
        <w:t xml:space="preserve"> proyectos admisibles:</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b/>
          <w:sz w:val="18"/>
          <w:szCs w:val="18"/>
          <w:lang w:val="es-ES_tradnl" w:eastAsia="zh-TW"/>
        </w:rPr>
        <w:t>82 proyectos</w:t>
      </w:r>
      <w:r w:rsidRPr="00B941CF">
        <w:rPr>
          <w:rFonts w:ascii="Verdana" w:hAnsi="Verdana"/>
          <w:sz w:val="18"/>
          <w:szCs w:val="18"/>
          <w:lang w:val="es-ES_tradnl" w:eastAsia="zh-TW"/>
        </w:rPr>
        <w:t xml:space="preserve"> fueron “Seleccionados”</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b/>
          <w:sz w:val="18"/>
          <w:szCs w:val="18"/>
          <w:lang w:val="es-ES_tradnl" w:eastAsia="zh-TW"/>
        </w:rPr>
        <w:t xml:space="preserve">61 proyectos </w:t>
      </w:r>
      <w:r w:rsidRPr="00B941CF">
        <w:rPr>
          <w:rFonts w:ascii="Verdana" w:hAnsi="Verdana"/>
          <w:sz w:val="18"/>
          <w:szCs w:val="18"/>
          <w:lang w:val="es-ES_tradnl" w:eastAsia="zh-TW"/>
        </w:rPr>
        <w:t>fueron “Adjudicados”</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b/>
          <w:sz w:val="18"/>
          <w:szCs w:val="18"/>
          <w:lang w:val="es-ES_tradnl" w:eastAsia="zh-TW"/>
        </w:rPr>
        <w:t xml:space="preserve">21 proyectos </w:t>
      </w:r>
      <w:r w:rsidRPr="00B941CF">
        <w:rPr>
          <w:rFonts w:ascii="Verdana" w:hAnsi="Verdana"/>
          <w:sz w:val="18"/>
          <w:szCs w:val="18"/>
          <w:lang w:val="es-ES_tradnl" w:eastAsia="zh-TW"/>
        </w:rPr>
        <w:t xml:space="preserve">quedó en “Lista de espera” </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b/>
          <w:sz w:val="18"/>
          <w:szCs w:val="18"/>
          <w:lang w:val="es-ES_tradnl" w:eastAsia="zh-TW"/>
        </w:rPr>
        <w:lastRenderedPageBreak/>
        <w:t>81</w:t>
      </w:r>
      <w:r w:rsidRPr="00B941CF">
        <w:rPr>
          <w:rFonts w:ascii="Verdana" w:hAnsi="Verdana"/>
          <w:sz w:val="18"/>
          <w:szCs w:val="18"/>
          <w:lang w:val="es-ES_tradnl" w:eastAsia="zh-TW"/>
        </w:rPr>
        <w:t xml:space="preserve"> </w:t>
      </w:r>
      <w:r w:rsidRPr="00B941CF">
        <w:rPr>
          <w:rFonts w:ascii="Verdana" w:hAnsi="Verdana"/>
          <w:b/>
          <w:sz w:val="18"/>
          <w:szCs w:val="18"/>
          <w:lang w:val="es-ES_tradnl" w:eastAsia="zh-TW"/>
        </w:rPr>
        <w:t>proyectos</w:t>
      </w:r>
      <w:r w:rsidRPr="00B941CF">
        <w:rPr>
          <w:rFonts w:ascii="Verdana" w:hAnsi="Verdana"/>
          <w:sz w:val="18"/>
          <w:szCs w:val="18"/>
          <w:lang w:val="es-ES_tradnl" w:eastAsia="zh-TW"/>
        </w:rPr>
        <w:t xml:space="preserve"> quedaron en la categoría de “No seleccionados”</w:t>
      </w:r>
    </w:p>
    <w:p w:rsidR="00C136EB" w:rsidRPr="00B941CF" w:rsidRDefault="00C136EB" w:rsidP="00B941CF">
      <w:pPr>
        <w:spacing w:line="360" w:lineRule="auto"/>
        <w:ind w:firstLine="426"/>
        <w:jc w:val="both"/>
        <w:rPr>
          <w:rFonts w:ascii="Verdana" w:hAnsi="Verdana"/>
          <w:sz w:val="18"/>
          <w:szCs w:val="18"/>
          <w:lang w:val="es-ES_tradnl" w:eastAsia="zh-TW"/>
        </w:rPr>
      </w:pPr>
      <w:r w:rsidRPr="00B941CF">
        <w:rPr>
          <w:rFonts w:ascii="Verdana" w:hAnsi="Verdana"/>
          <w:sz w:val="18"/>
          <w:szCs w:val="18"/>
          <w:lang w:val="es-ES_tradnl" w:eastAsia="zh-TW"/>
        </w:rPr>
        <w:t xml:space="preserve">Finalmente del total de proyectos postulados, el </w:t>
      </w:r>
      <w:r w:rsidRPr="00B941CF">
        <w:rPr>
          <w:rFonts w:ascii="Verdana" w:hAnsi="Verdana"/>
          <w:b/>
          <w:sz w:val="18"/>
          <w:szCs w:val="18"/>
          <w:lang w:val="es-ES_tradnl" w:eastAsia="zh-TW"/>
        </w:rPr>
        <w:t xml:space="preserve">50.3% </w:t>
      </w:r>
      <w:r w:rsidRPr="00B941CF">
        <w:rPr>
          <w:rFonts w:ascii="Verdana" w:hAnsi="Verdana"/>
          <w:sz w:val="18"/>
          <w:szCs w:val="18"/>
          <w:lang w:val="es-ES_tradnl" w:eastAsia="zh-TW"/>
        </w:rPr>
        <w:t xml:space="preserve">logra estar evaluado sobre el puntaje de corte, mientras el </w:t>
      </w:r>
      <w:r w:rsidRPr="00B941CF">
        <w:rPr>
          <w:rFonts w:ascii="Verdana" w:hAnsi="Verdana"/>
          <w:b/>
          <w:sz w:val="18"/>
          <w:szCs w:val="18"/>
          <w:lang w:val="es-ES_tradnl" w:eastAsia="zh-TW"/>
        </w:rPr>
        <w:t>49.7</w:t>
      </w:r>
      <w:r w:rsidRPr="00B941CF">
        <w:rPr>
          <w:rFonts w:ascii="Verdana" w:hAnsi="Verdana"/>
          <w:sz w:val="18"/>
          <w:szCs w:val="18"/>
          <w:lang w:val="es-ES_tradnl" w:eastAsia="zh-TW"/>
        </w:rPr>
        <w:t xml:space="preserve"> se encuentra bajo dicho puntaje.</w:t>
      </w:r>
    </w:p>
    <w:p w:rsidR="007F7871" w:rsidRPr="00B941CF" w:rsidRDefault="00C136EB" w:rsidP="007F7871">
      <w:pPr>
        <w:spacing w:line="360" w:lineRule="auto"/>
        <w:ind w:firstLine="426"/>
        <w:jc w:val="both"/>
        <w:rPr>
          <w:rFonts w:ascii="Verdana" w:hAnsi="Verdana"/>
          <w:sz w:val="18"/>
          <w:szCs w:val="18"/>
          <w:lang w:val="es-ES_tradnl" w:eastAsia="zh-TW"/>
        </w:rPr>
      </w:pPr>
      <w:r w:rsidRPr="00B941CF">
        <w:rPr>
          <w:rFonts w:ascii="Verdana" w:hAnsi="Verdana"/>
          <w:sz w:val="18"/>
          <w:szCs w:val="18"/>
          <w:lang w:val="es-ES_tradnl" w:eastAsia="zh-TW"/>
        </w:rPr>
        <w:t xml:space="preserve">Para la convocatoria FAE 2014, el presupuesto asignado para el concurso fue de </w:t>
      </w:r>
      <w:r w:rsidRPr="00B941CF">
        <w:rPr>
          <w:rFonts w:ascii="Verdana" w:hAnsi="Verdana"/>
          <w:b/>
          <w:sz w:val="18"/>
          <w:szCs w:val="18"/>
          <w:lang w:val="es-ES_tradnl" w:eastAsia="zh-TW"/>
        </w:rPr>
        <w:t>$506.381.000</w:t>
      </w:r>
      <w:r w:rsidRPr="00B941CF">
        <w:rPr>
          <w:rFonts w:ascii="Verdana" w:hAnsi="Verdana"/>
          <w:sz w:val="18"/>
          <w:szCs w:val="18"/>
          <w:lang w:val="es-ES_tradnl" w:eastAsia="zh-TW"/>
        </w:rPr>
        <w:t xml:space="preserve">, con un incremento del </w:t>
      </w:r>
      <w:r w:rsidRPr="00B941CF">
        <w:rPr>
          <w:rFonts w:ascii="Verdana" w:hAnsi="Verdana"/>
          <w:b/>
          <w:sz w:val="18"/>
          <w:szCs w:val="18"/>
          <w:lang w:val="es-ES_tradnl" w:eastAsia="zh-TW"/>
        </w:rPr>
        <w:t>5.12%</w:t>
      </w:r>
      <w:r w:rsidRPr="00B941CF">
        <w:rPr>
          <w:rFonts w:ascii="Verdana" w:hAnsi="Verdana"/>
          <w:sz w:val="18"/>
          <w:szCs w:val="18"/>
          <w:lang w:val="es-ES_tradnl" w:eastAsia="zh-TW"/>
        </w:rPr>
        <w:t xml:space="preserve"> respecto de la convocatoria 2013 (480.447.000) lo que se tradujo en un aumento de </w:t>
      </w:r>
      <w:r w:rsidRPr="00B941CF">
        <w:rPr>
          <w:rFonts w:ascii="Verdana" w:hAnsi="Verdana"/>
          <w:b/>
          <w:sz w:val="18"/>
          <w:szCs w:val="18"/>
          <w:lang w:val="es-ES_tradnl" w:eastAsia="zh-TW"/>
        </w:rPr>
        <w:t xml:space="preserve">$25.934.000 </w:t>
      </w:r>
      <w:r w:rsidRPr="00B941CF">
        <w:rPr>
          <w:rFonts w:ascii="Verdana" w:hAnsi="Verdana"/>
          <w:sz w:val="18"/>
          <w:szCs w:val="18"/>
          <w:lang w:val="es-ES_tradnl" w:eastAsia="zh-TW"/>
        </w:rPr>
        <w:t>más que la convocatoria 2013.</w:t>
      </w:r>
    </w:p>
    <w:p w:rsidR="007F7871" w:rsidRPr="007F7871" w:rsidRDefault="00C136EB" w:rsidP="007F7871">
      <w:pPr>
        <w:spacing w:line="360" w:lineRule="auto"/>
        <w:ind w:firstLine="426"/>
        <w:jc w:val="both"/>
        <w:rPr>
          <w:rFonts w:ascii="Verdana" w:eastAsia="Times New Roman" w:hAnsi="Verdana" w:cs="Calibri"/>
          <w:b/>
          <w:bCs/>
          <w:i/>
          <w:color w:val="000000"/>
          <w:sz w:val="18"/>
          <w:szCs w:val="18"/>
          <w:lang w:eastAsia="es-CL"/>
        </w:rPr>
      </w:pPr>
      <w:r w:rsidRPr="00B941CF">
        <w:rPr>
          <w:rFonts w:ascii="Verdana" w:hAnsi="Verdana"/>
          <w:sz w:val="18"/>
          <w:szCs w:val="18"/>
          <w:lang w:val="es-ES_tradnl" w:eastAsia="zh-TW"/>
        </w:rPr>
        <w:t>La asignación de recursos tuvo su mayor pick de distribución en la  línea 1 de</w:t>
      </w:r>
      <w:r w:rsidRPr="00B941CF">
        <w:rPr>
          <w:rFonts w:ascii="Verdana" w:hAnsi="Verdana"/>
          <w:i/>
          <w:sz w:val="18"/>
          <w:szCs w:val="18"/>
          <w:lang w:val="es-ES_tradnl" w:eastAsia="zh-TW"/>
        </w:rPr>
        <w:t xml:space="preserve"> </w:t>
      </w:r>
      <w:r w:rsidRPr="00B941CF">
        <w:rPr>
          <w:rFonts w:ascii="Verdana" w:hAnsi="Verdana"/>
          <w:b/>
          <w:i/>
          <w:sz w:val="18"/>
          <w:szCs w:val="18"/>
          <w:lang w:val="es-ES_tradnl" w:eastAsia="zh-TW"/>
        </w:rPr>
        <w:t>Educación Artística Formal</w:t>
      </w:r>
      <w:r w:rsidRPr="00B941CF">
        <w:rPr>
          <w:rFonts w:ascii="Verdana" w:hAnsi="Verdana"/>
          <w:sz w:val="18"/>
          <w:szCs w:val="18"/>
          <w:lang w:val="es-ES_tradnl" w:eastAsia="zh-TW"/>
        </w:rPr>
        <w:t xml:space="preserve"> donde el total del presupuesto adjudicado (</w:t>
      </w:r>
      <w:r w:rsidRPr="00B941CF">
        <w:rPr>
          <w:rFonts w:ascii="Verdana" w:eastAsia="Times New Roman" w:hAnsi="Verdana" w:cs="Calibri"/>
          <w:b/>
          <w:bCs/>
          <w:color w:val="000000"/>
          <w:sz w:val="18"/>
          <w:szCs w:val="18"/>
          <w:lang w:eastAsia="es-CL"/>
        </w:rPr>
        <w:t xml:space="preserve">$317.155.440) </w:t>
      </w:r>
      <w:r w:rsidRPr="00B941CF">
        <w:rPr>
          <w:rFonts w:ascii="Verdana" w:eastAsia="Times New Roman" w:hAnsi="Verdana" w:cs="Calibri"/>
          <w:bCs/>
          <w:color w:val="000000"/>
          <w:sz w:val="18"/>
          <w:szCs w:val="18"/>
          <w:lang w:eastAsia="es-CL"/>
        </w:rPr>
        <w:t xml:space="preserve">corresponde al </w:t>
      </w:r>
      <w:r w:rsidRPr="00B941CF">
        <w:rPr>
          <w:rFonts w:ascii="Verdana" w:eastAsia="Times New Roman" w:hAnsi="Verdana" w:cs="Calibri"/>
          <w:b/>
          <w:bCs/>
          <w:color w:val="000000"/>
          <w:sz w:val="18"/>
          <w:szCs w:val="18"/>
          <w:lang w:eastAsia="es-CL"/>
        </w:rPr>
        <w:t xml:space="preserve">62.63% </w:t>
      </w:r>
      <w:r w:rsidRPr="00B941CF">
        <w:rPr>
          <w:rFonts w:ascii="Verdana" w:eastAsia="Times New Roman" w:hAnsi="Verdana" w:cs="Calibri"/>
          <w:bCs/>
          <w:color w:val="000000"/>
          <w:sz w:val="18"/>
          <w:szCs w:val="18"/>
          <w:lang w:eastAsia="es-CL"/>
        </w:rPr>
        <w:t xml:space="preserve"> del presupuesto destinado para dicha convocatoria, mientras que el otro </w:t>
      </w:r>
      <w:r w:rsidRPr="00B941CF">
        <w:rPr>
          <w:rFonts w:ascii="Verdana" w:eastAsia="Times New Roman" w:hAnsi="Verdana" w:cs="Calibri"/>
          <w:b/>
          <w:bCs/>
          <w:color w:val="000000"/>
          <w:sz w:val="18"/>
          <w:szCs w:val="18"/>
          <w:lang w:eastAsia="es-CL"/>
        </w:rPr>
        <w:t>37,36%</w:t>
      </w:r>
      <w:r w:rsidRPr="00B941CF">
        <w:rPr>
          <w:rFonts w:ascii="Verdana" w:eastAsia="Times New Roman" w:hAnsi="Verdana" w:cs="Calibri"/>
          <w:bCs/>
          <w:color w:val="000000"/>
          <w:sz w:val="18"/>
          <w:szCs w:val="18"/>
          <w:lang w:eastAsia="es-CL"/>
        </w:rPr>
        <w:t xml:space="preserve"> corresponde a la línea 2 de </w:t>
      </w:r>
      <w:r w:rsidRPr="00B941CF">
        <w:rPr>
          <w:rFonts w:ascii="Verdana" w:eastAsia="Times New Roman" w:hAnsi="Verdana" w:cs="Calibri"/>
          <w:b/>
          <w:bCs/>
          <w:i/>
          <w:color w:val="000000"/>
          <w:sz w:val="18"/>
          <w:szCs w:val="18"/>
          <w:lang w:eastAsia="es-CL"/>
        </w:rPr>
        <w:t>Educación Artística No Formal.</w:t>
      </w:r>
    </w:p>
    <w:p w:rsidR="007F7871" w:rsidRPr="007F7871" w:rsidRDefault="00C136EB" w:rsidP="007F7871">
      <w:pPr>
        <w:rPr>
          <w:rFonts w:ascii="Calibri" w:eastAsia="Times New Roman" w:hAnsi="Calibri" w:cs="Calibri"/>
          <w:b/>
          <w:bCs/>
          <w:i/>
          <w:color w:val="000000"/>
          <w:lang w:eastAsia="es-CL"/>
        </w:rPr>
      </w:pPr>
      <w:r>
        <w:rPr>
          <w:noProof/>
          <w:lang w:eastAsia="es-CL"/>
        </w:rPr>
        <w:drawing>
          <wp:inline distT="0" distB="0" distL="0" distR="0" wp14:anchorId="1D865E30" wp14:editId="46D826B6">
            <wp:extent cx="6524625" cy="215265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7871" w:rsidRDefault="007F7871" w:rsidP="007F7871">
      <w:pPr>
        <w:spacing w:line="360" w:lineRule="auto"/>
        <w:ind w:firstLine="708"/>
        <w:jc w:val="both"/>
        <w:rPr>
          <w:rFonts w:ascii="Verdana" w:hAnsi="Verdana"/>
          <w:sz w:val="18"/>
          <w:szCs w:val="18"/>
          <w:lang w:val="es-ES_tradnl" w:eastAsia="zh-TW"/>
        </w:rPr>
      </w:pPr>
    </w:p>
    <w:p w:rsidR="007F7871" w:rsidRPr="00B941CF" w:rsidRDefault="00C136EB" w:rsidP="007F7871">
      <w:pPr>
        <w:spacing w:line="360" w:lineRule="auto"/>
        <w:ind w:firstLine="708"/>
        <w:jc w:val="both"/>
        <w:rPr>
          <w:rFonts w:ascii="Verdana" w:hAnsi="Verdana"/>
          <w:sz w:val="18"/>
          <w:szCs w:val="18"/>
          <w:lang w:val="es-ES_tradnl" w:eastAsia="zh-TW"/>
        </w:rPr>
      </w:pPr>
      <w:r w:rsidRPr="00B941CF">
        <w:rPr>
          <w:rFonts w:ascii="Verdana" w:hAnsi="Verdana"/>
          <w:sz w:val="18"/>
          <w:szCs w:val="18"/>
          <w:lang w:val="es-ES_tradnl" w:eastAsia="zh-TW"/>
        </w:rPr>
        <w:t xml:space="preserve">Respecto de la asignación de recursos a los proyectos adjudicados, se observa el mismo comportamiento que en la etapa de admisibilidad, es decir la mayor cantidad de proyectos adjudicados y el mayor monto entregado para ello se alberga en la línea 1, en particular la categoría </w:t>
      </w:r>
      <w:r w:rsidRPr="00B941CF">
        <w:rPr>
          <w:rFonts w:ascii="Verdana" w:hAnsi="Verdana"/>
          <w:i/>
          <w:sz w:val="18"/>
          <w:szCs w:val="18"/>
          <w:lang w:val="es-ES_tradnl" w:eastAsia="zh-TW"/>
        </w:rPr>
        <w:t>1.b</w:t>
      </w:r>
      <w:r w:rsidRPr="00B941CF">
        <w:rPr>
          <w:rFonts w:ascii="Verdana" w:hAnsi="Verdana"/>
          <w:sz w:val="18"/>
          <w:szCs w:val="18"/>
          <w:lang w:val="es-ES_tradnl" w:eastAsia="zh-TW"/>
        </w:rPr>
        <w:t xml:space="preserve"> </w:t>
      </w:r>
      <w:r w:rsidRPr="00B941CF">
        <w:rPr>
          <w:rFonts w:ascii="Verdana" w:hAnsi="Verdana"/>
          <w:i/>
          <w:sz w:val="18"/>
          <w:szCs w:val="18"/>
          <w:lang w:val="es-ES_tradnl" w:eastAsia="zh-TW"/>
        </w:rPr>
        <w:t>Escuelas y Liceos con integración de las artes</w:t>
      </w:r>
      <w:r w:rsidRPr="00B941CF">
        <w:rPr>
          <w:rFonts w:ascii="Verdana" w:hAnsi="Verdana"/>
          <w:sz w:val="18"/>
          <w:szCs w:val="18"/>
          <w:lang w:val="es-ES_tradnl" w:eastAsia="zh-TW"/>
        </w:rPr>
        <w:t>, tal y como se detalla a continuación.</w:t>
      </w:r>
    </w:p>
    <w:tbl>
      <w:tblPr>
        <w:tblW w:w="8888" w:type="dxa"/>
        <w:jc w:val="center"/>
        <w:tblInd w:w="55" w:type="dxa"/>
        <w:tblCellMar>
          <w:left w:w="70" w:type="dxa"/>
          <w:right w:w="70" w:type="dxa"/>
        </w:tblCellMar>
        <w:tblLook w:val="04A0" w:firstRow="1" w:lastRow="0" w:firstColumn="1" w:lastColumn="0" w:noHBand="0" w:noVBand="1"/>
      </w:tblPr>
      <w:tblGrid>
        <w:gridCol w:w="5080"/>
        <w:gridCol w:w="1047"/>
        <w:gridCol w:w="1161"/>
        <w:gridCol w:w="1600"/>
      </w:tblGrid>
      <w:tr w:rsidR="00C136EB" w:rsidRPr="00FA1698" w:rsidTr="00B941CF">
        <w:trPr>
          <w:trHeight w:val="300"/>
          <w:jc w:val="center"/>
        </w:trPr>
        <w:tc>
          <w:tcPr>
            <w:tcW w:w="508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Líneas 1  Educación A</w:t>
            </w:r>
            <w:r w:rsidRPr="00FA1698">
              <w:rPr>
                <w:rFonts w:ascii="Calibri" w:eastAsia="Times New Roman" w:hAnsi="Calibri" w:cs="Calibri"/>
                <w:b/>
                <w:bCs/>
                <w:color w:val="000000"/>
                <w:sz w:val="20"/>
                <w:szCs w:val="20"/>
                <w:lang w:eastAsia="es-CL"/>
              </w:rPr>
              <w:t>rtística Formal</w:t>
            </w:r>
          </w:p>
        </w:tc>
        <w:tc>
          <w:tcPr>
            <w:tcW w:w="1047"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Evaluados</w:t>
            </w:r>
          </w:p>
        </w:tc>
        <w:tc>
          <w:tcPr>
            <w:tcW w:w="1161"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Adjudicados</w:t>
            </w:r>
          </w:p>
        </w:tc>
        <w:tc>
          <w:tcPr>
            <w:tcW w:w="160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Monto</w:t>
            </w:r>
          </w:p>
        </w:tc>
      </w:tr>
      <w:tr w:rsidR="00C136EB" w:rsidRPr="00FA1698"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D8E4BC"/>
            <w:vAlign w:val="center"/>
            <w:hideMark/>
          </w:tcPr>
          <w:p w:rsidR="00C136EB" w:rsidRPr="00FA1698" w:rsidRDefault="00C136EB" w:rsidP="00B941CF">
            <w:pPr>
              <w:spacing w:after="0" w:line="240" w:lineRule="auto"/>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1.a Escuelas y Liceos Artísticos Especializados</w:t>
            </w:r>
          </w:p>
        </w:tc>
        <w:tc>
          <w:tcPr>
            <w:tcW w:w="1047" w:type="dxa"/>
            <w:tcBorders>
              <w:top w:val="nil"/>
              <w:left w:val="nil"/>
              <w:bottom w:val="single" w:sz="4" w:space="0" w:color="auto"/>
              <w:right w:val="single" w:sz="4" w:space="0" w:color="auto"/>
            </w:tcBorders>
            <w:shd w:val="clear" w:color="000000" w:fill="D8E4BC"/>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15</w:t>
            </w:r>
          </w:p>
        </w:tc>
        <w:tc>
          <w:tcPr>
            <w:tcW w:w="1161" w:type="dxa"/>
            <w:tcBorders>
              <w:top w:val="nil"/>
              <w:left w:val="nil"/>
              <w:bottom w:val="single" w:sz="4" w:space="0" w:color="auto"/>
              <w:right w:val="single" w:sz="4" w:space="0" w:color="auto"/>
            </w:tcBorders>
            <w:shd w:val="clear" w:color="000000" w:fill="D8E4BC"/>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7</w:t>
            </w:r>
          </w:p>
        </w:tc>
        <w:tc>
          <w:tcPr>
            <w:tcW w:w="1600" w:type="dxa"/>
            <w:tcBorders>
              <w:top w:val="nil"/>
              <w:left w:val="nil"/>
              <w:bottom w:val="single" w:sz="4" w:space="0" w:color="auto"/>
              <w:right w:val="single" w:sz="4" w:space="0" w:color="auto"/>
            </w:tcBorders>
            <w:shd w:val="clear" w:color="000000" w:fill="D8E4BC"/>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71.627.599</w:t>
            </w:r>
          </w:p>
        </w:tc>
      </w:tr>
      <w:tr w:rsidR="00C136EB" w:rsidRPr="00FA1698"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EBF1DE"/>
            <w:vAlign w:val="center"/>
            <w:hideMark/>
          </w:tcPr>
          <w:p w:rsidR="00C136EB" w:rsidRPr="00FA1698" w:rsidRDefault="00C136EB" w:rsidP="00B941CF">
            <w:pPr>
              <w:spacing w:after="0" w:line="240" w:lineRule="auto"/>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1.b Escuelas y Liceos con Integración de las Artes</w:t>
            </w:r>
          </w:p>
        </w:tc>
        <w:tc>
          <w:tcPr>
            <w:tcW w:w="1047" w:type="dxa"/>
            <w:tcBorders>
              <w:top w:val="nil"/>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102</w:t>
            </w:r>
          </w:p>
        </w:tc>
        <w:tc>
          <w:tcPr>
            <w:tcW w:w="1161" w:type="dxa"/>
            <w:tcBorders>
              <w:top w:val="nil"/>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31</w:t>
            </w:r>
          </w:p>
        </w:tc>
        <w:tc>
          <w:tcPr>
            <w:tcW w:w="1600" w:type="dxa"/>
            <w:tcBorders>
              <w:top w:val="nil"/>
              <w:left w:val="nil"/>
              <w:bottom w:val="single" w:sz="4" w:space="0" w:color="auto"/>
              <w:right w:val="single" w:sz="4" w:space="0" w:color="auto"/>
            </w:tcBorders>
            <w:shd w:val="clear" w:color="000000" w:fill="EBF1DE"/>
            <w:noWrap/>
            <w:vAlign w:val="center"/>
            <w:hideMark/>
          </w:tcPr>
          <w:p w:rsidR="00C136EB" w:rsidRPr="00FA1698" w:rsidRDefault="00C136EB" w:rsidP="00B941CF">
            <w:pPr>
              <w:spacing w:after="0" w:line="240" w:lineRule="auto"/>
              <w:jc w:val="center"/>
              <w:rPr>
                <w:rFonts w:ascii="Calibri" w:eastAsia="Times New Roman" w:hAnsi="Calibri" w:cs="Calibri"/>
                <w:color w:val="000000"/>
                <w:sz w:val="18"/>
                <w:szCs w:val="18"/>
                <w:lang w:eastAsia="es-CL"/>
              </w:rPr>
            </w:pPr>
            <w:r w:rsidRPr="00FA1698">
              <w:rPr>
                <w:rFonts w:ascii="Calibri" w:eastAsia="Times New Roman" w:hAnsi="Calibri" w:cs="Calibri"/>
                <w:color w:val="000000"/>
                <w:sz w:val="18"/>
                <w:szCs w:val="18"/>
                <w:lang w:eastAsia="es-CL"/>
              </w:rPr>
              <w:t>245.527.841</w:t>
            </w:r>
          </w:p>
        </w:tc>
      </w:tr>
      <w:tr w:rsidR="00C136EB" w:rsidRPr="00FA1698" w:rsidTr="00B941CF">
        <w:trPr>
          <w:trHeight w:val="300"/>
          <w:jc w:val="center"/>
        </w:trPr>
        <w:tc>
          <w:tcPr>
            <w:tcW w:w="5080" w:type="dxa"/>
            <w:tcBorders>
              <w:top w:val="nil"/>
              <w:left w:val="single" w:sz="4" w:space="0" w:color="auto"/>
              <w:bottom w:val="single" w:sz="4" w:space="0" w:color="auto"/>
              <w:right w:val="single" w:sz="4" w:space="0" w:color="auto"/>
            </w:tcBorders>
            <w:shd w:val="clear" w:color="auto" w:fill="auto"/>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Total</w:t>
            </w:r>
          </w:p>
        </w:tc>
        <w:tc>
          <w:tcPr>
            <w:tcW w:w="1047" w:type="dxa"/>
            <w:tcBorders>
              <w:top w:val="nil"/>
              <w:left w:val="nil"/>
              <w:bottom w:val="single" w:sz="4" w:space="0" w:color="auto"/>
              <w:right w:val="single" w:sz="4" w:space="0" w:color="auto"/>
            </w:tcBorders>
            <w:shd w:val="clear" w:color="auto" w:fill="auto"/>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117</w:t>
            </w:r>
          </w:p>
        </w:tc>
        <w:tc>
          <w:tcPr>
            <w:tcW w:w="1161" w:type="dxa"/>
            <w:tcBorders>
              <w:top w:val="nil"/>
              <w:left w:val="nil"/>
              <w:bottom w:val="single" w:sz="4" w:space="0" w:color="auto"/>
              <w:right w:val="single" w:sz="4" w:space="0" w:color="auto"/>
            </w:tcBorders>
            <w:shd w:val="clear" w:color="auto" w:fill="auto"/>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38</w:t>
            </w:r>
          </w:p>
        </w:tc>
        <w:tc>
          <w:tcPr>
            <w:tcW w:w="1600" w:type="dxa"/>
            <w:tcBorders>
              <w:top w:val="nil"/>
              <w:left w:val="nil"/>
              <w:bottom w:val="single" w:sz="4" w:space="0" w:color="auto"/>
              <w:right w:val="single" w:sz="4" w:space="0" w:color="auto"/>
            </w:tcBorders>
            <w:shd w:val="clear" w:color="auto" w:fill="auto"/>
            <w:noWrap/>
            <w:vAlign w:val="center"/>
            <w:hideMark/>
          </w:tcPr>
          <w:p w:rsidR="00C136EB" w:rsidRPr="00FA1698" w:rsidRDefault="00C136EB" w:rsidP="00B941CF">
            <w:pPr>
              <w:spacing w:after="0" w:line="240" w:lineRule="auto"/>
              <w:jc w:val="center"/>
              <w:rPr>
                <w:rFonts w:ascii="Calibri" w:eastAsia="Times New Roman" w:hAnsi="Calibri" w:cs="Calibri"/>
                <w:b/>
                <w:bCs/>
                <w:color w:val="000000"/>
                <w:sz w:val="20"/>
                <w:szCs w:val="20"/>
                <w:lang w:eastAsia="es-CL"/>
              </w:rPr>
            </w:pPr>
            <w:r w:rsidRPr="00FA1698">
              <w:rPr>
                <w:rFonts w:ascii="Calibri" w:eastAsia="Times New Roman" w:hAnsi="Calibri" w:cs="Calibri"/>
                <w:b/>
                <w:bCs/>
                <w:color w:val="000000"/>
                <w:sz w:val="20"/>
                <w:szCs w:val="20"/>
                <w:lang w:eastAsia="es-CL"/>
              </w:rPr>
              <w:t>$ 317.155.440</w:t>
            </w:r>
          </w:p>
        </w:tc>
      </w:tr>
    </w:tbl>
    <w:p w:rsidR="00C136EB" w:rsidRPr="00FA1698" w:rsidRDefault="00C136EB" w:rsidP="00C136EB">
      <w:pPr>
        <w:jc w:val="both"/>
        <w:rPr>
          <w:lang w:val="es-ES_tradnl" w:eastAsia="zh-TW"/>
        </w:rPr>
      </w:pPr>
    </w:p>
    <w:tbl>
      <w:tblPr>
        <w:tblW w:w="8888" w:type="dxa"/>
        <w:jc w:val="center"/>
        <w:tblInd w:w="55" w:type="dxa"/>
        <w:tblCellMar>
          <w:left w:w="70" w:type="dxa"/>
          <w:right w:w="70" w:type="dxa"/>
        </w:tblCellMar>
        <w:tblLook w:val="04A0" w:firstRow="1" w:lastRow="0" w:firstColumn="1" w:lastColumn="0" w:noHBand="0" w:noVBand="1"/>
      </w:tblPr>
      <w:tblGrid>
        <w:gridCol w:w="5080"/>
        <w:gridCol w:w="1047"/>
        <w:gridCol w:w="1161"/>
        <w:gridCol w:w="1600"/>
      </w:tblGrid>
      <w:tr w:rsidR="00C136EB" w:rsidRPr="00D11181" w:rsidTr="00B941CF">
        <w:trPr>
          <w:trHeight w:val="300"/>
          <w:jc w:val="center"/>
        </w:trPr>
        <w:tc>
          <w:tcPr>
            <w:tcW w:w="508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Línea 2 </w:t>
            </w:r>
            <w:r w:rsidRPr="00D11181">
              <w:rPr>
                <w:rFonts w:ascii="Calibri" w:eastAsia="Times New Roman" w:hAnsi="Calibri" w:cs="Calibri"/>
                <w:b/>
                <w:bCs/>
                <w:color w:val="000000"/>
                <w:sz w:val="20"/>
                <w:szCs w:val="20"/>
                <w:lang w:eastAsia="es-CL"/>
              </w:rPr>
              <w:t xml:space="preserve"> </w:t>
            </w:r>
            <w:r>
              <w:rPr>
                <w:rFonts w:ascii="Calibri" w:eastAsia="Times New Roman" w:hAnsi="Calibri" w:cs="Calibri"/>
                <w:b/>
                <w:bCs/>
                <w:color w:val="000000"/>
                <w:sz w:val="20"/>
                <w:szCs w:val="20"/>
                <w:lang w:eastAsia="es-CL"/>
              </w:rPr>
              <w:t>Educación A</w:t>
            </w:r>
            <w:r w:rsidRPr="00D11181">
              <w:rPr>
                <w:rFonts w:ascii="Calibri" w:eastAsia="Times New Roman" w:hAnsi="Calibri" w:cs="Calibri"/>
                <w:b/>
                <w:bCs/>
                <w:color w:val="000000"/>
                <w:sz w:val="20"/>
                <w:szCs w:val="20"/>
                <w:lang w:eastAsia="es-CL"/>
              </w:rPr>
              <w:t>rtística No Formal</w:t>
            </w:r>
          </w:p>
        </w:tc>
        <w:tc>
          <w:tcPr>
            <w:tcW w:w="1047"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Evaluados</w:t>
            </w:r>
          </w:p>
        </w:tc>
        <w:tc>
          <w:tcPr>
            <w:tcW w:w="1161"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Adjudicados</w:t>
            </w:r>
          </w:p>
        </w:tc>
        <w:tc>
          <w:tcPr>
            <w:tcW w:w="1600" w:type="dxa"/>
            <w:tcBorders>
              <w:top w:val="single" w:sz="4" w:space="0" w:color="auto"/>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Monto</w:t>
            </w:r>
          </w:p>
        </w:tc>
      </w:tr>
      <w:tr w:rsidR="00C136EB" w:rsidRPr="00D11181"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D8E4BC"/>
            <w:vAlign w:val="center"/>
            <w:hideMark/>
          </w:tcPr>
          <w:p w:rsidR="00C136EB" w:rsidRPr="00D11181" w:rsidRDefault="00C136EB" w:rsidP="00B941CF">
            <w:pPr>
              <w:spacing w:after="0" w:line="240" w:lineRule="auto"/>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2.a Instituciones Artístico Culturales  de Formación Artística</w:t>
            </w:r>
          </w:p>
        </w:tc>
        <w:tc>
          <w:tcPr>
            <w:tcW w:w="1047" w:type="dxa"/>
            <w:tcBorders>
              <w:top w:val="nil"/>
              <w:left w:val="nil"/>
              <w:bottom w:val="single" w:sz="4" w:space="0" w:color="auto"/>
              <w:right w:val="single" w:sz="4" w:space="0" w:color="auto"/>
            </w:tcBorders>
            <w:shd w:val="clear" w:color="000000" w:fill="D8E4BC"/>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17</w:t>
            </w:r>
          </w:p>
        </w:tc>
        <w:tc>
          <w:tcPr>
            <w:tcW w:w="1161" w:type="dxa"/>
            <w:tcBorders>
              <w:top w:val="nil"/>
              <w:left w:val="nil"/>
              <w:bottom w:val="single" w:sz="4" w:space="0" w:color="auto"/>
              <w:right w:val="single" w:sz="4" w:space="0" w:color="auto"/>
            </w:tcBorders>
            <w:shd w:val="clear" w:color="000000" w:fill="D8E4BC"/>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9</w:t>
            </w:r>
          </w:p>
        </w:tc>
        <w:tc>
          <w:tcPr>
            <w:tcW w:w="1600" w:type="dxa"/>
            <w:tcBorders>
              <w:top w:val="nil"/>
              <w:left w:val="nil"/>
              <w:bottom w:val="single" w:sz="4" w:space="0" w:color="auto"/>
              <w:right w:val="single" w:sz="4" w:space="0" w:color="auto"/>
            </w:tcBorders>
            <w:shd w:val="clear" w:color="000000" w:fill="D8E4BC"/>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66.670.441</w:t>
            </w:r>
          </w:p>
        </w:tc>
      </w:tr>
      <w:tr w:rsidR="00C136EB" w:rsidRPr="00D11181" w:rsidTr="00B941CF">
        <w:trPr>
          <w:trHeight w:val="300"/>
          <w:jc w:val="center"/>
        </w:trPr>
        <w:tc>
          <w:tcPr>
            <w:tcW w:w="5080" w:type="dxa"/>
            <w:tcBorders>
              <w:top w:val="nil"/>
              <w:left w:val="single" w:sz="4" w:space="0" w:color="auto"/>
              <w:bottom w:val="single" w:sz="4" w:space="0" w:color="auto"/>
              <w:right w:val="single" w:sz="4" w:space="0" w:color="auto"/>
            </w:tcBorders>
            <w:shd w:val="clear" w:color="000000" w:fill="EBF1DE"/>
            <w:vAlign w:val="center"/>
            <w:hideMark/>
          </w:tcPr>
          <w:p w:rsidR="00C136EB" w:rsidRPr="00D11181" w:rsidRDefault="00C136EB" w:rsidP="00B941CF">
            <w:pPr>
              <w:spacing w:after="0" w:line="240" w:lineRule="auto"/>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2.b Instituciones Artístico Culturales de Promoción Artística</w:t>
            </w:r>
          </w:p>
        </w:tc>
        <w:tc>
          <w:tcPr>
            <w:tcW w:w="1047" w:type="dxa"/>
            <w:tcBorders>
              <w:top w:val="nil"/>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29</w:t>
            </w:r>
          </w:p>
        </w:tc>
        <w:tc>
          <w:tcPr>
            <w:tcW w:w="1161" w:type="dxa"/>
            <w:tcBorders>
              <w:top w:val="nil"/>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14</w:t>
            </w:r>
          </w:p>
        </w:tc>
        <w:tc>
          <w:tcPr>
            <w:tcW w:w="1600" w:type="dxa"/>
            <w:tcBorders>
              <w:top w:val="nil"/>
              <w:left w:val="nil"/>
              <w:bottom w:val="single" w:sz="4" w:space="0" w:color="auto"/>
              <w:right w:val="single" w:sz="4" w:space="0" w:color="auto"/>
            </w:tcBorders>
            <w:shd w:val="clear" w:color="000000" w:fill="EBF1DE"/>
            <w:noWrap/>
            <w:vAlign w:val="center"/>
            <w:hideMark/>
          </w:tcPr>
          <w:p w:rsidR="00C136EB" w:rsidRPr="00D11181" w:rsidRDefault="00C136EB" w:rsidP="00B941CF">
            <w:pPr>
              <w:spacing w:after="0" w:line="240" w:lineRule="auto"/>
              <w:jc w:val="center"/>
              <w:rPr>
                <w:rFonts w:ascii="Calibri" w:eastAsia="Times New Roman" w:hAnsi="Calibri" w:cs="Calibri"/>
                <w:color w:val="000000"/>
                <w:sz w:val="18"/>
                <w:szCs w:val="18"/>
                <w:lang w:eastAsia="es-CL"/>
              </w:rPr>
            </w:pPr>
            <w:r w:rsidRPr="00D11181">
              <w:rPr>
                <w:rFonts w:ascii="Calibri" w:eastAsia="Times New Roman" w:hAnsi="Calibri" w:cs="Calibri"/>
                <w:color w:val="000000"/>
                <w:sz w:val="18"/>
                <w:szCs w:val="18"/>
                <w:lang w:eastAsia="es-CL"/>
              </w:rPr>
              <w:t>122.555.119</w:t>
            </w:r>
          </w:p>
        </w:tc>
      </w:tr>
      <w:tr w:rsidR="00C136EB" w:rsidRPr="00D11181" w:rsidTr="00B941CF">
        <w:trPr>
          <w:trHeight w:val="300"/>
          <w:jc w:val="center"/>
        </w:trPr>
        <w:tc>
          <w:tcPr>
            <w:tcW w:w="5080" w:type="dxa"/>
            <w:tcBorders>
              <w:top w:val="nil"/>
              <w:left w:val="single" w:sz="4" w:space="0" w:color="auto"/>
              <w:bottom w:val="single" w:sz="4" w:space="0" w:color="auto"/>
              <w:right w:val="single" w:sz="4" w:space="0" w:color="auto"/>
            </w:tcBorders>
            <w:shd w:val="clear" w:color="auto" w:fill="auto"/>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Total</w:t>
            </w:r>
          </w:p>
        </w:tc>
        <w:tc>
          <w:tcPr>
            <w:tcW w:w="1047" w:type="dxa"/>
            <w:tcBorders>
              <w:top w:val="nil"/>
              <w:left w:val="nil"/>
              <w:bottom w:val="single" w:sz="4" w:space="0" w:color="auto"/>
              <w:right w:val="single" w:sz="4" w:space="0" w:color="auto"/>
            </w:tcBorders>
            <w:shd w:val="clear" w:color="auto" w:fill="auto"/>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46</w:t>
            </w:r>
          </w:p>
        </w:tc>
        <w:tc>
          <w:tcPr>
            <w:tcW w:w="1161" w:type="dxa"/>
            <w:tcBorders>
              <w:top w:val="nil"/>
              <w:left w:val="nil"/>
              <w:bottom w:val="single" w:sz="4" w:space="0" w:color="auto"/>
              <w:right w:val="single" w:sz="4" w:space="0" w:color="auto"/>
            </w:tcBorders>
            <w:shd w:val="clear" w:color="auto" w:fill="auto"/>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23</w:t>
            </w:r>
          </w:p>
        </w:tc>
        <w:tc>
          <w:tcPr>
            <w:tcW w:w="1600" w:type="dxa"/>
            <w:tcBorders>
              <w:top w:val="nil"/>
              <w:left w:val="nil"/>
              <w:bottom w:val="single" w:sz="4" w:space="0" w:color="auto"/>
              <w:right w:val="single" w:sz="4" w:space="0" w:color="auto"/>
            </w:tcBorders>
            <w:shd w:val="clear" w:color="auto" w:fill="auto"/>
            <w:noWrap/>
            <w:vAlign w:val="center"/>
            <w:hideMark/>
          </w:tcPr>
          <w:p w:rsidR="00C136EB" w:rsidRPr="00D11181" w:rsidRDefault="00C136EB" w:rsidP="00B941CF">
            <w:pPr>
              <w:spacing w:after="0" w:line="240" w:lineRule="auto"/>
              <w:jc w:val="center"/>
              <w:rPr>
                <w:rFonts w:ascii="Calibri" w:eastAsia="Times New Roman" w:hAnsi="Calibri" w:cs="Calibri"/>
                <w:b/>
                <w:bCs/>
                <w:color w:val="000000"/>
                <w:sz w:val="20"/>
                <w:szCs w:val="20"/>
                <w:lang w:eastAsia="es-CL"/>
              </w:rPr>
            </w:pPr>
            <w:r w:rsidRPr="00D11181">
              <w:rPr>
                <w:rFonts w:ascii="Calibri" w:eastAsia="Times New Roman" w:hAnsi="Calibri" w:cs="Calibri"/>
                <w:b/>
                <w:bCs/>
                <w:color w:val="000000"/>
                <w:sz w:val="20"/>
                <w:szCs w:val="20"/>
                <w:lang w:eastAsia="es-CL"/>
              </w:rPr>
              <w:t>$ 189.225.560</w:t>
            </w:r>
          </w:p>
        </w:tc>
      </w:tr>
    </w:tbl>
    <w:p w:rsidR="00C136EB" w:rsidRPr="007F7871" w:rsidRDefault="00C136EB" w:rsidP="007F7871">
      <w:pPr>
        <w:pStyle w:val="Prrafodelista"/>
        <w:numPr>
          <w:ilvl w:val="1"/>
          <w:numId w:val="1"/>
        </w:numPr>
        <w:rPr>
          <w:b/>
          <w:sz w:val="24"/>
          <w:szCs w:val="24"/>
          <w:lang w:val="es-ES_tradnl" w:eastAsia="zh-TW"/>
        </w:rPr>
      </w:pPr>
      <w:r w:rsidRPr="007F7871">
        <w:rPr>
          <w:b/>
          <w:sz w:val="24"/>
          <w:szCs w:val="24"/>
          <w:lang w:val="es-ES_tradnl" w:eastAsia="zh-TW"/>
        </w:rPr>
        <w:lastRenderedPageBreak/>
        <w:t>Postulantes y seleccionados según Modalidad.</w:t>
      </w:r>
    </w:p>
    <w:p w:rsidR="00C136EB" w:rsidRPr="00B941CF" w:rsidRDefault="00C136EB" w:rsidP="00B941CF">
      <w:pPr>
        <w:spacing w:line="360" w:lineRule="auto"/>
        <w:ind w:left="66" w:firstLine="360"/>
        <w:jc w:val="both"/>
        <w:rPr>
          <w:rFonts w:ascii="Verdana" w:hAnsi="Verdana"/>
          <w:sz w:val="18"/>
          <w:szCs w:val="18"/>
          <w:lang w:val="es-ES_tradnl" w:eastAsia="zh-TW"/>
        </w:rPr>
      </w:pPr>
      <w:r w:rsidRPr="00B941CF">
        <w:rPr>
          <w:rFonts w:ascii="Verdana" w:hAnsi="Verdana"/>
          <w:sz w:val="18"/>
          <w:szCs w:val="18"/>
          <w:lang w:val="es-ES_tradnl" w:eastAsia="zh-TW"/>
        </w:rPr>
        <w:t xml:space="preserve">El Fondo FAE ha financiado proyectos que se han presentado en las cuatro modalidades de postulación y que responden a diferentes intereses institucionales para la educación artística formal y no formal, dichas modalidades son: </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Equipamiento y material de enseñanza.</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Extensión y difusión.</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Implementación y mejoramiento curricular.</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Perfeccionamiento docente y directivo.</w:t>
      </w:r>
    </w:p>
    <w:tbl>
      <w:tblPr>
        <w:tblpPr w:leftFromText="141" w:rightFromText="141" w:vertAnchor="text" w:tblpXSpec="center" w:tblpY="417"/>
        <w:tblW w:w="8340" w:type="dxa"/>
        <w:tblCellMar>
          <w:left w:w="70" w:type="dxa"/>
          <w:right w:w="70" w:type="dxa"/>
        </w:tblCellMar>
        <w:tblLook w:val="04A0" w:firstRow="1" w:lastRow="0" w:firstColumn="1" w:lastColumn="0" w:noHBand="0" w:noVBand="1"/>
      </w:tblPr>
      <w:tblGrid>
        <w:gridCol w:w="2280"/>
        <w:gridCol w:w="1360"/>
        <w:gridCol w:w="1340"/>
        <w:gridCol w:w="1420"/>
        <w:gridCol w:w="1940"/>
      </w:tblGrid>
      <w:tr w:rsidR="00C136EB" w:rsidRPr="006D3B2A" w:rsidTr="00B941CF">
        <w:trPr>
          <w:trHeight w:val="300"/>
        </w:trPr>
        <w:tc>
          <w:tcPr>
            <w:tcW w:w="228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Modalidad</w:t>
            </w:r>
          </w:p>
        </w:tc>
        <w:tc>
          <w:tcPr>
            <w:tcW w:w="1360" w:type="dxa"/>
            <w:tcBorders>
              <w:top w:val="single" w:sz="4" w:space="0" w:color="auto"/>
              <w:left w:val="nil"/>
              <w:bottom w:val="single" w:sz="4" w:space="0" w:color="auto"/>
              <w:right w:val="single" w:sz="4" w:space="0" w:color="auto"/>
            </w:tcBorders>
            <w:shd w:val="clear" w:color="000000" w:fill="C4D79B"/>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Postulados</w:t>
            </w:r>
          </w:p>
        </w:tc>
        <w:tc>
          <w:tcPr>
            <w:tcW w:w="1340" w:type="dxa"/>
            <w:tcBorders>
              <w:top w:val="single" w:sz="4" w:space="0" w:color="auto"/>
              <w:left w:val="nil"/>
              <w:bottom w:val="single" w:sz="4" w:space="0" w:color="auto"/>
              <w:right w:val="single" w:sz="4" w:space="0" w:color="auto"/>
            </w:tcBorders>
            <w:shd w:val="clear" w:color="000000" w:fill="C4D79B"/>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Admisibles</w:t>
            </w:r>
          </w:p>
        </w:tc>
        <w:tc>
          <w:tcPr>
            <w:tcW w:w="1420" w:type="dxa"/>
            <w:tcBorders>
              <w:top w:val="single" w:sz="4" w:space="0" w:color="auto"/>
              <w:left w:val="nil"/>
              <w:bottom w:val="single" w:sz="4" w:space="0" w:color="auto"/>
              <w:right w:val="single" w:sz="4" w:space="0" w:color="auto"/>
            </w:tcBorders>
            <w:shd w:val="clear" w:color="000000" w:fill="C4D79B"/>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Adjudicados</w:t>
            </w:r>
          </w:p>
        </w:tc>
        <w:tc>
          <w:tcPr>
            <w:tcW w:w="1940" w:type="dxa"/>
            <w:tcBorders>
              <w:top w:val="single" w:sz="4" w:space="0" w:color="auto"/>
              <w:left w:val="nil"/>
              <w:bottom w:val="single" w:sz="4" w:space="0" w:color="auto"/>
              <w:right w:val="single" w:sz="4" w:space="0" w:color="auto"/>
            </w:tcBorders>
            <w:shd w:val="clear" w:color="000000" w:fill="C4D79B"/>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Monto adjudicado</w:t>
            </w:r>
          </w:p>
        </w:tc>
      </w:tr>
      <w:tr w:rsidR="00C136EB" w:rsidRPr="006D3B2A" w:rsidTr="00B941CF">
        <w:trPr>
          <w:trHeight w:val="510"/>
        </w:trPr>
        <w:tc>
          <w:tcPr>
            <w:tcW w:w="2280" w:type="dxa"/>
            <w:tcBorders>
              <w:top w:val="nil"/>
              <w:left w:val="single" w:sz="4" w:space="0" w:color="auto"/>
              <w:bottom w:val="single" w:sz="4" w:space="0" w:color="auto"/>
              <w:right w:val="single" w:sz="4" w:space="0" w:color="auto"/>
            </w:tcBorders>
            <w:shd w:val="clear" w:color="000000" w:fill="EBF1DE"/>
            <w:vAlign w:val="center"/>
            <w:hideMark/>
          </w:tcPr>
          <w:p w:rsidR="00C136EB" w:rsidRPr="006D3B2A" w:rsidRDefault="00C136EB" w:rsidP="00B941CF">
            <w:pPr>
              <w:spacing w:after="0" w:line="240" w:lineRule="auto"/>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val="es-ES_tradnl" w:eastAsia="zh-TW"/>
              </w:rPr>
              <w:t>Equipamiento y Material de Enseñanza</w:t>
            </w:r>
          </w:p>
        </w:tc>
        <w:tc>
          <w:tcPr>
            <w:tcW w:w="136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95</w:t>
            </w:r>
          </w:p>
        </w:tc>
        <w:tc>
          <w:tcPr>
            <w:tcW w:w="13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72</w:t>
            </w:r>
          </w:p>
        </w:tc>
        <w:tc>
          <w:tcPr>
            <w:tcW w:w="142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42</w:t>
            </w:r>
          </w:p>
        </w:tc>
        <w:tc>
          <w:tcPr>
            <w:tcW w:w="19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$ 349.797.185</w:t>
            </w:r>
          </w:p>
        </w:tc>
      </w:tr>
      <w:tr w:rsidR="00C136EB" w:rsidRPr="006D3B2A" w:rsidTr="00B941CF">
        <w:trPr>
          <w:trHeight w:val="525"/>
        </w:trPr>
        <w:tc>
          <w:tcPr>
            <w:tcW w:w="2280" w:type="dxa"/>
            <w:tcBorders>
              <w:top w:val="nil"/>
              <w:left w:val="single" w:sz="4" w:space="0" w:color="auto"/>
              <w:bottom w:val="single" w:sz="4" w:space="0" w:color="auto"/>
              <w:right w:val="single" w:sz="4" w:space="0" w:color="auto"/>
            </w:tcBorders>
            <w:shd w:val="clear" w:color="000000" w:fill="EBF1DE"/>
            <w:vAlign w:val="center"/>
            <w:hideMark/>
          </w:tcPr>
          <w:p w:rsidR="00C136EB" w:rsidRPr="006D3B2A" w:rsidRDefault="00C136EB" w:rsidP="00B941CF">
            <w:pPr>
              <w:spacing w:after="0" w:line="240" w:lineRule="auto"/>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val="es-ES_tradnl" w:eastAsia="zh-TW"/>
              </w:rPr>
              <w:t>Extensión y Difusión</w:t>
            </w:r>
          </w:p>
        </w:tc>
        <w:tc>
          <w:tcPr>
            <w:tcW w:w="136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50</w:t>
            </w:r>
          </w:p>
        </w:tc>
        <w:tc>
          <w:tcPr>
            <w:tcW w:w="13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35</w:t>
            </w:r>
          </w:p>
        </w:tc>
        <w:tc>
          <w:tcPr>
            <w:tcW w:w="142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8</w:t>
            </w:r>
          </w:p>
        </w:tc>
        <w:tc>
          <w:tcPr>
            <w:tcW w:w="19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$ 57.611.107</w:t>
            </w:r>
          </w:p>
        </w:tc>
      </w:tr>
      <w:tr w:rsidR="00C136EB" w:rsidRPr="006D3B2A" w:rsidTr="00B941CF">
        <w:trPr>
          <w:trHeight w:val="510"/>
        </w:trPr>
        <w:tc>
          <w:tcPr>
            <w:tcW w:w="2280" w:type="dxa"/>
            <w:tcBorders>
              <w:top w:val="nil"/>
              <w:left w:val="single" w:sz="4" w:space="0" w:color="auto"/>
              <w:bottom w:val="single" w:sz="4" w:space="0" w:color="auto"/>
              <w:right w:val="single" w:sz="4" w:space="0" w:color="auto"/>
            </w:tcBorders>
            <w:shd w:val="clear" w:color="000000" w:fill="EBF1DE"/>
            <w:vAlign w:val="center"/>
            <w:hideMark/>
          </w:tcPr>
          <w:p w:rsidR="00C136EB" w:rsidRPr="006D3B2A" w:rsidRDefault="00C136EB" w:rsidP="00B941CF">
            <w:pPr>
              <w:spacing w:after="0" w:line="240" w:lineRule="auto"/>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val="es-ES_tradnl" w:eastAsia="zh-TW"/>
              </w:rPr>
              <w:t>Implementación y Mejoramiento Curricular</w:t>
            </w:r>
          </w:p>
        </w:tc>
        <w:tc>
          <w:tcPr>
            <w:tcW w:w="136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56</w:t>
            </w:r>
          </w:p>
        </w:tc>
        <w:tc>
          <w:tcPr>
            <w:tcW w:w="13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47</w:t>
            </w:r>
          </w:p>
        </w:tc>
        <w:tc>
          <w:tcPr>
            <w:tcW w:w="142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8</w:t>
            </w:r>
          </w:p>
        </w:tc>
        <w:tc>
          <w:tcPr>
            <w:tcW w:w="19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$ 74.058.539</w:t>
            </w:r>
          </w:p>
        </w:tc>
      </w:tr>
      <w:tr w:rsidR="00C136EB" w:rsidRPr="006D3B2A" w:rsidTr="00B941CF">
        <w:trPr>
          <w:trHeight w:val="510"/>
        </w:trPr>
        <w:tc>
          <w:tcPr>
            <w:tcW w:w="2280" w:type="dxa"/>
            <w:tcBorders>
              <w:top w:val="nil"/>
              <w:left w:val="single" w:sz="4" w:space="0" w:color="auto"/>
              <w:bottom w:val="single" w:sz="4" w:space="0" w:color="auto"/>
              <w:right w:val="single" w:sz="4" w:space="0" w:color="auto"/>
            </w:tcBorders>
            <w:shd w:val="clear" w:color="000000" w:fill="EBF1DE"/>
            <w:vAlign w:val="center"/>
            <w:hideMark/>
          </w:tcPr>
          <w:p w:rsidR="00C136EB" w:rsidRPr="006D3B2A" w:rsidRDefault="00C136EB" w:rsidP="00B941CF">
            <w:pPr>
              <w:spacing w:after="0" w:line="240" w:lineRule="auto"/>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val="es-ES_tradnl" w:eastAsia="zh-TW"/>
              </w:rPr>
              <w:t>Perfeccionamiento Docente y Directivo</w:t>
            </w:r>
          </w:p>
        </w:tc>
        <w:tc>
          <w:tcPr>
            <w:tcW w:w="136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11</w:t>
            </w:r>
          </w:p>
        </w:tc>
        <w:tc>
          <w:tcPr>
            <w:tcW w:w="13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9</w:t>
            </w:r>
          </w:p>
        </w:tc>
        <w:tc>
          <w:tcPr>
            <w:tcW w:w="142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3</w:t>
            </w:r>
          </w:p>
        </w:tc>
        <w:tc>
          <w:tcPr>
            <w:tcW w:w="19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color w:val="000000"/>
                <w:sz w:val="20"/>
                <w:szCs w:val="20"/>
                <w:lang w:eastAsia="es-CL"/>
              </w:rPr>
            </w:pPr>
            <w:r w:rsidRPr="006D3B2A">
              <w:rPr>
                <w:rFonts w:ascii="Calibri" w:eastAsia="Times New Roman" w:hAnsi="Calibri" w:cs="Calibri"/>
                <w:color w:val="000000"/>
                <w:sz w:val="20"/>
                <w:szCs w:val="20"/>
                <w:lang w:eastAsia="es-CL"/>
              </w:rPr>
              <w:t>$ 24.914.169</w:t>
            </w:r>
          </w:p>
        </w:tc>
      </w:tr>
      <w:tr w:rsidR="00C136EB" w:rsidRPr="006D3B2A" w:rsidTr="00B941CF">
        <w:trPr>
          <w:trHeight w:val="300"/>
        </w:trPr>
        <w:tc>
          <w:tcPr>
            <w:tcW w:w="2280" w:type="dxa"/>
            <w:tcBorders>
              <w:top w:val="nil"/>
              <w:left w:val="single" w:sz="4" w:space="0" w:color="auto"/>
              <w:bottom w:val="single" w:sz="4" w:space="0" w:color="auto"/>
              <w:right w:val="single" w:sz="4" w:space="0" w:color="auto"/>
            </w:tcBorders>
            <w:shd w:val="clear" w:color="000000" w:fill="EBF1DE"/>
            <w:noWrap/>
            <w:vAlign w:val="bottom"/>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TOTAL</w:t>
            </w:r>
          </w:p>
        </w:tc>
        <w:tc>
          <w:tcPr>
            <w:tcW w:w="136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sz w:val="20"/>
                <w:szCs w:val="20"/>
                <w:lang w:eastAsia="es-CL"/>
              </w:rPr>
            </w:pPr>
            <w:r w:rsidRPr="006D3B2A">
              <w:rPr>
                <w:rFonts w:ascii="Calibri" w:eastAsia="Times New Roman" w:hAnsi="Calibri" w:cs="Calibri"/>
                <w:b/>
                <w:bCs/>
                <w:color w:val="000000"/>
                <w:sz w:val="20"/>
                <w:szCs w:val="20"/>
                <w:lang w:eastAsia="es-CL"/>
              </w:rPr>
              <w:t>212</w:t>
            </w:r>
          </w:p>
        </w:tc>
        <w:tc>
          <w:tcPr>
            <w:tcW w:w="13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sz w:val="20"/>
                <w:szCs w:val="20"/>
                <w:lang w:eastAsia="es-CL"/>
              </w:rPr>
            </w:pPr>
            <w:r w:rsidRPr="006D3B2A">
              <w:rPr>
                <w:rFonts w:ascii="Calibri" w:eastAsia="Times New Roman" w:hAnsi="Calibri" w:cs="Calibri"/>
                <w:b/>
                <w:bCs/>
                <w:color w:val="000000"/>
                <w:sz w:val="20"/>
                <w:szCs w:val="20"/>
                <w:lang w:eastAsia="es-CL"/>
              </w:rPr>
              <w:t>163</w:t>
            </w:r>
          </w:p>
        </w:tc>
        <w:tc>
          <w:tcPr>
            <w:tcW w:w="142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61</w:t>
            </w:r>
          </w:p>
        </w:tc>
        <w:tc>
          <w:tcPr>
            <w:tcW w:w="1940" w:type="dxa"/>
            <w:tcBorders>
              <w:top w:val="nil"/>
              <w:left w:val="nil"/>
              <w:bottom w:val="single" w:sz="4" w:space="0" w:color="auto"/>
              <w:right w:val="single" w:sz="4" w:space="0" w:color="auto"/>
            </w:tcBorders>
            <w:shd w:val="clear" w:color="000000" w:fill="EBF1DE"/>
            <w:noWrap/>
            <w:vAlign w:val="center"/>
            <w:hideMark/>
          </w:tcPr>
          <w:p w:rsidR="00C136EB" w:rsidRPr="006D3B2A" w:rsidRDefault="00C136EB" w:rsidP="00B941CF">
            <w:pPr>
              <w:spacing w:after="0" w:line="240" w:lineRule="auto"/>
              <w:jc w:val="center"/>
              <w:rPr>
                <w:rFonts w:ascii="Calibri" w:eastAsia="Times New Roman" w:hAnsi="Calibri" w:cs="Calibri"/>
                <w:b/>
                <w:bCs/>
                <w:color w:val="000000"/>
                <w:lang w:eastAsia="es-CL"/>
              </w:rPr>
            </w:pPr>
            <w:r w:rsidRPr="006D3B2A">
              <w:rPr>
                <w:rFonts w:ascii="Calibri" w:eastAsia="Times New Roman" w:hAnsi="Calibri" w:cs="Calibri"/>
                <w:b/>
                <w:bCs/>
                <w:color w:val="000000"/>
                <w:lang w:eastAsia="es-CL"/>
              </w:rPr>
              <w:t>$ 506.381.000</w:t>
            </w:r>
          </w:p>
        </w:tc>
      </w:tr>
    </w:tbl>
    <w:p w:rsidR="00C136EB" w:rsidRDefault="00C136EB" w:rsidP="00C136EB">
      <w:pPr>
        <w:jc w:val="both"/>
        <w:rPr>
          <w:lang w:val="es-ES_tradnl" w:eastAsia="zh-TW"/>
        </w:rPr>
      </w:pPr>
    </w:p>
    <w:p w:rsidR="00C136EB" w:rsidRDefault="00C136EB" w:rsidP="00C136EB">
      <w:pPr>
        <w:jc w:val="both"/>
        <w:rPr>
          <w:lang w:val="es-ES_tradnl" w:eastAsia="zh-TW"/>
        </w:rPr>
      </w:pPr>
    </w:p>
    <w:p w:rsidR="00C136EB" w:rsidRDefault="00C136EB" w:rsidP="00C136EB">
      <w:pPr>
        <w:jc w:val="both"/>
        <w:rPr>
          <w:lang w:val="es-ES_tradnl" w:eastAsia="zh-TW"/>
        </w:rPr>
      </w:pPr>
    </w:p>
    <w:p w:rsidR="00C136EB" w:rsidRDefault="00C136EB" w:rsidP="00C136EB">
      <w:pPr>
        <w:jc w:val="both"/>
        <w:rPr>
          <w:lang w:val="es-ES_tradnl" w:eastAsia="zh-TW"/>
        </w:rPr>
      </w:pPr>
    </w:p>
    <w:p w:rsidR="00C136EB" w:rsidRDefault="00C136EB" w:rsidP="00C136EB">
      <w:pPr>
        <w:jc w:val="both"/>
        <w:rPr>
          <w:lang w:val="es-ES_tradnl" w:eastAsia="zh-TW"/>
        </w:rPr>
      </w:pPr>
    </w:p>
    <w:p w:rsidR="00C136EB" w:rsidRDefault="00C136EB" w:rsidP="00C136EB">
      <w:pPr>
        <w:jc w:val="both"/>
        <w:rPr>
          <w:lang w:val="es-ES_tradnl" w:eastAsia="zh-TW"/>
        </w:rPr>
      </w:pPr>
    </w:p>
    <w:p w:rsidR="00C136EB" w:rsidRPr="00AD762A" w:rsidRDefault="00C136EB" w:rsidP="00C136EB">
      <w:pPr>
        <w:jc w:val="both"/>
        <w:rPr>
          <w:lang w:val="es-ES_tradnl" w:eastAsia="zh-TW"/>
        </w:rPr>
      </w:pPr>
    </w:p>
    <w:p w:rsidR="00C136EB" w:rsidRPr="00B941CF" w:rsidRDefault="00C136EB" w:rsidP="00C136EB">
      <w:pPr>
        <w:ind w:firstLine="708"/>
        <w:jc w:val="both"/>
        <w:rPr>
          <w:rFonts w:ascii="Verdana" w:hAnsi="Verdana"/>
          <w:sz w:val="18"/>
          <w:szCs w:val="18"/>
          <w:lang w:val="es-ES_tradnl" w:eastAsia="zh-TW"/>
        </w:rPr>
      </w:pPr>
      <w:r w:rsidRPr="00B941CF">
        <w:rPr>
          <w:rFonts w:ascii="Verdana" w:hAnsi="Verdana"/>
          <w:sz w:val="18"/>
          <w:szCs w:val="18"/>
          <w:lang w:val="es-ES_tradnl" w:eastAsia="zh-TW"/>
        </w:rPr>
        <w:t xml:space="preserve">En la presente convocatoria de FAE 2014 la cantidad de proyectos postulados a la modalidad de </w:t>
      </w:r>
      <w:r w:rsidRPr="00B941CF">
        <w:rPr>
          <w:rFonts w:ascii="Verdana" w:hAnsi="Verdana"/>
          <w:i/>
          <w:sz w:val="18"/>
          <w:szCs w:val="18"/>
          <w:lang w:val="es-ES_tradnl" w:eastAsia="zh-TW"/>
        </w:rPr>
        <w:t>“Material y equipamiento de enseñanza”</w:t>
      </w:r>
      <w:r w:rsidRPr="00B941CF">
        <w:rPr>
          <w:rFonts w:ascii="Verdana" w:hAnsi="Verdana"/>
          <w:sz w:val="18"/>
          <w:szCs w:val="18"/>
          <w:lang w:val="es-ES_tradnl" w:eastAsia="zh-TW"/>
        </w:rPr>
        <w:t xml:space="preserve"> adjudico el 69% del total de recursos asignados (506.381.000).</w:t>
      </w:r>
    </w:p>
    <w:p w:rsidR="00C136EB" w:rsidRDefault="00C136EB" w:rsidP="00C136EB">
      <w:pPr>
        <w:jc w:val="center"/>
        <w:rPr>
          <w:lang w:val="es-ES_tradnl" w:eastAsia="zh-TW"/>
        </w:rPr>
      </w:pPr>
      <w:r>
        <w:rPr>
          <w:noProof/>
          <w:lang w:eastAsia="es-CL"/>
        </w:rPr>
        <w:drawing>
          <wp:inline distT="0" distB="0" distL="0" distR="0" wp14:anchorId="497CC9DC" wp14:editId="5358DFE7">
            <wp:extent cx="489585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41CF" w:rsidRDefault="00B941CF" w:rsidP="00B941CF">
      <w:pPr>
        <w:spacing w:line="360" w:lineRule="auto"/>
        <w:jc w:val="both"/>
        <w:rPr>
          <w:rFonts w:ascii="Verdana" w:hAnsi="Verdana"/>
          <w:sz w:val="18"/>
          <w:szCs w:val="18"/>
          <w:lang w:val="es-ES_tradnl" w:eastAsia="zh-TW"/>
        </w:rPr>
      </w:pPr>
    </w:p>
    <w:p w:rsidR="00C136EB" w:rsidRPr="00B941CF" w:rsidRDefault="00C136EB" w:rsidP="00B941CF">
      <w:p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lastRenderedPageBreak/>
        <w:t>De lo anteriormente presentado, podemos observar:</w:t>
      </w:r>
    </w:p>
    <w:p w:rsidR="00C136EB" w:rsidRPr="00B941CF" w:rsidRDefault="00C136EB" w:rsidP="00B941CF">
      <w:pPr>
        <w:pStyle w:val="Prrafodelista"/>
        <w:numPr>
          <w:ilvl w:val="0"/>
          <w:numId w:val="5"/>
        </w:numPr>
        <w:spacing w:line="360" w:lineRule="auto"/>
        <w:jc w:val="both"/>
        <w:rPr>
          <w:rFonts w:ascii="Verdana" w:hAnsi="Verdana"/>
          <w:i/>
          <w:sz w:val="18"/>
          <w:szCs w:val="18"/>
          <w:lang w:val="es-ES_tradnl" w:eastAsia="zh-TW"/>
        </w:rPr>
      </w:pPr>
      <w:r w:rsidRPr="00B941CF">
        <w:rPr>
          <w:rFonts w:ascii="Verdana" w:hAnsi="Verdana"/>
          <w:sz w:val="18"/>
          <w:szCs w:val="18"/>
          <w:lang w:val="es-ES_tradnl" w:eastAsia="zh-TW"/>
        </w:rPr>
        <w:t xml:space="preserve">Existe una relación cercana entre la cantidad de proyectos postulados y los proyectos declarados admisibles, sin embargo, la diferencia de amplía en la relación de proyectos admisibles con la cantidad de adjudicados, a excepción de la modalidad de </w:t>
      </w:r>
      <w:r w:rsidRPr="00B941CF">
        <w:rPr>
          <w:rFonts w:ascii="Verdana" w:hAnsi="Verdana"/>
          <w:i/>
          <w:sz w:val="18"/>
          <w:szCs w:val="18"/>
          <w:lang w:val="es-ES_tradnl" w:eastAsia="zh-TW"/>
        </w:rPr>
        <w:t>“Implementación y mejoramiento curricular”.</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 xml:space="preserve">Los proyectos presentados a la modalidad de “Implementación y mejoramiento curricular” representan un 15% del monto total de adjudicación, sin embargo, poseen la misma cantidad de proyectos adjudicados que la modalidad de </w:t>
      </w:r>
      <w:r w:rsidRPr="00B941CF">
        <w:rPr>
          <w:rFonts w:ascii="Verdana" w:hAnsi="Verdana"/>
          <w:i/>
          <w:sz w:val="18"/>
          <w:szCs w:val="18"/>
          <w:lang w:val="es-ES_tradnl" w:eastAsia="zh-TW"/>
        </w:rPr>
        <w:t>“Extensión y difusión”.</w:t>
      </w:r>
      <w:r w:rsidRPr="00B941CF">
        <w:rPr>
          <w:rFonts w:ascii="Verdana" w:hAnsi="Verdana"/>
          <w:sz w:val="18"/>
          <w:szCs w:val="18"/>
          <w:lang w:val="es-ES_tradnl" w:eastAsia="zh-TW"/>
        </w:rPr>
        <w:t xml:space="preserve"> </w:t>
      </w:r>
    </w:p>
    <w:p w:rsidR="00C136EB" w:rsidRPr="00B941CF" w:rsidRDefault="00C136EB" w:rsidP="00B941CF">
      <w:pPr>
        <w:pStyle w:val="Prrafodelista"/>
        <w:numPr>
          <w:ilvl w:val="0"/>
          <w:numId w:val="5"/>
        </w:numPr>
        <w:spacing w:line="360" w:lineRule="auto"/>
        <w:jc w:val="both"/>
        <w:rPr>
          <w:rFonts w:ascii="Verdana" w:hAnsi="Verdana"/>
          <w:sz w:val="18"/>
          <w:szCs w:val="18"/>
          <w:lang w:val="es-ES_tradnl" w:eastAsia="zh-TW"/>
        </w:rPr>
      </w:pPr>
      <w:r w:rsidRPr="00B941CF">
        <w:rPr>
          <w:rFonts w:ascii="Verdana" w:hAnsi="Verdana"/>
          <w:sz w:val="18"/>
          <w:szCs w:val="18"/>
          <w:lang w:val="es-ES_tradnl" w:eastAsia="zh-TW"/>
        </w:rPr>
        <w:t xml:space="preserve"> La modalidad de </w:t>
      </w:r>
      <w:r w:rsidRPr="00B941CF">
        <w:rPr>
          <w:rFonts w:ascii="Verdana" w:hAnsi="Verdana"/>
          <w:i/>
          <w:sz w:val="18"/>
          <w:szCs w:val="18"/>
          <w:lang w:val="es-ES_tradnl" w:eastAsia="zh-TW"/>
        </w:rPr>
        <w:t>“Perfeccionamiento docente y directivo”</w:t>
      </w:r>
      <w:r w:rsidRPr="00B941CF">
        <w:rPr>
          <w:rFonts w:ascii="Verdana" w:hAnsi="Verdana"/>
          <w:sz w:val="18"/>
          <w:szCs w:val="18"/>
          <w:lang w:val="es-ES_tradnl" w:eastAsia="zh-TW"/>
        </w:rPr>
        <w:t xml:space="preserve"> no presenta gran demanda de postulación y solo representa el 5% del monto total de adjudicación con solo 3 proyectos seleccionados.</w:t>
      </w:r>
    </w:p>
    <w:p w:rsidR="009E0AEC" w:rsidRDefault="009E0AEC" w:rsidP="009E0AEC">
      <w:pPr>
        <w:pStyle w:val="Ttulo1"/>
        <w:rPr>
          <w:rFonts w:ascii="Verdana" w:hAnsi="Verdana"/>
          <w:noProof/>
          <w:color w:val="auto"/>
          <w:sz w:val="18"/>
          <w:szCs w:val="18"/>
          <w:lang w:val="es-ES_tradnl" w:eastAsia="en-US"/>
        </w:rPr>
      </w:pPr>
    </w:p>
    <w:p w:rsidR="00B941CF" w:rsidRPr="00D31C0F" w:rsidRDefault="007F7871" w:rsidP="009E0AEC">
      <w:pPr>
        <w:pStyle w:val="Ttulo1"/>
        <w:rPr>
          <w:rFonts w:ascii="Verdana" w:hAnsi="Verdana"/>
          <w:noProof/>
          <w:sz w:val="28"/>
          <w:szCs w:val="28"/>
          <w:lang w:val="es-ES_tradnl"/>
        </w:rPr>
      </w:pPr>
      <w:r>
        <w:rPr>
          <w:rFonts w:ascii="Verdana" w:hAnsi="Verdana"/>
          <w:noProof/>
          <w:sz w:val="28"/>
          <w:szCs w:val="28"/>
          <w:lang w:val="es-ES_tradnl"/>
        </w:rPr>
        <w:t xml:space="preserve">Distribución </w:t>
      </w:r>
      <w:r w:rsidR="00B941CF">
        <w:rPr>
          <w:rFonts w:ascii="Verdana" w:hAnsi="Verdana"/>
          <w:noProof/>
          <w:sz w:val="28"/>
          <w:szCs w:val="28"/>
          <w:lang w:val="es-ES_tradnl"/>
        </w:rPr>
        <w:t>Territorial.</w:t>
      </w:r>
    </w:p>
    <w:p w:rsidR="00B941CF" w:rsidRPr="002449A2" w:rsidRDefault="00B941CF" w:rsidP="007F7871">
      <w:pPr>
        <w:pStyle w:val="Prrafodelista"/>
        <w:numPr>
          <w:ilvl w:val="1"/>
          <w:numId w:val="8"/>
        </w:numPr>
        <w:ind w:left="786"/>
        <w:rPr>
          <w:b/>
          <w:sz w:val="24"/>
          <w:szCs w:val="24"/>
          <w:lang w:val="es-ES_tradnl" w:eastAsia="zh-TW"/>
        </w:rPr>
      </w:pPr>
      <w:r w:rsidRPr="002449A2">
        <w:rPr>
          <w:b/>
          <w:sz w:val="24"/>
          <w:szCs w:val="24"/>
          <w:lang w:val="es-ES_tradnl" w:eastAsia="zh-TW"/>
        </w:rPr>
        <w:t>Proyectos postulados y seleccionados.</w:t>
      </w:r>
    </w:p>
    <w:p w:rsidR="007F7871" w:rsidRPr="007F7871" w:rsidRDefault="00B941CF" w:rsidP="007F7871">
      <w:pPr>
        <w:spacing w:line="360" w:lineRule="auto"/>
        <w:ind w:firstLine="426"/>
        <w:jc w:val="both"/>
        <w:rPr>
          <w:rFonts w:ascii="Verdana" w:hAnsi="Verdana"/>
          <w:sz w:val="18"/>
          <w:szCs w:val="18"/>
          <w:lang w:val="es-ES_tradnl" w:eastAsia="zh-TW"/>
        </w:rPr>
      </w:pPr>
      <w:r w:rsidRPr="007F7871">
        <w:rPr>
          <w:rFonts w:ascii="Verdana" w:hAnsi="Verdana"/>
          <w:sz w:val="18"/>
          <w:szCs w:val="18"/>
          <w:lang w:val="es-ES_tradnl" w:eastAsia="zh-TW"/>
        </w:rPr>
        <w:t xml:space="preserve">El presente cuadro expresa la cantidad de proyectos postulados, admisibles y adjudicados, siendo las regiones de Valparaíso, Metropolitana y Biobío, la que presentan las cifras más altas en dichos ámbitos del concurso, seguida en cuarto lugar por la región de los Lagos. Sin embargo, destaca la región de los Ríos cuya cantidad de proyectos postulados no presenta </w:t>
      </w:r>
      <w:r w:rsidR="009D1419" w:rsidRPr="007F7871">
        <w:rPr>
          <w:rFonts w:ascii="Verdana" w:hAnsi="Verdana"/>
          <w:sz w:val="18"/>
          <w:szCs w:val="18"/>
          <w:lang w:val="es-ES_tradnl" w:eastAsia="zh-TW"/>
        </w:rPr>
        <w:t>inadmisibilidad de estos.</w:t>
      </w:r>
    </w:p>
    <w:tbl>
      <w:tblPr>
        <w:tblW w:w="9693" w:type="dxa"/>
        <w:tblInd w:w="55" w:type="dxa"/>
        <w:tblCellMar>
          <w:left w:w="70" w:type="dxa"/>
          <w:right w:w="70" w:type="dxa"/>
        </w:tblCellMar>
        <w:tblLook w:val="04A0" w:firstRow="1" w:lastRow="0" w:firstColumn="1" w:lastColumn="0" w:noHBand="0" w:noVBand="1"/>
      </w:tblPr>
      <w:tblGrid>
        <w:gridCol w:w="395"/>
        <w:gridCol w:w="2120"/>
        <w:gridCol w:w="1533"/>
        <w:gridCol w:w="1509"/>
        <w:gridCol w:w="1334"/>
        <w:gridCol w:w="1381"/>
        <w:gridCol w:w="1421"/>
      </w:tblGrid>
      <w:tr w:rsidR="00B941CF" w:rsidRPr="008C3DE8" w:rsidTr="00B941CF">
        <w:trPr>
          <w:trHeight w:val="603"/>
        </w:trPr>
        <w:tc>
          <w:tcPr>
            <w:tcW w:w="395"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N°</w:t>
            </w:r>
          </w:p>
        </w:tc>
        <w:tc>
          <w:tcPr>
            <w:tcW w:w="2120"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 xml:space="preserve">Región </w:t>
            </w:r>
          </w:p>
        </w:tc>
        <w:tc>
          <w:tcPr>
            <w:tcW w:w="1533"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Postulaciones</w:t>
            </w:r>
          </w:p>
        </w:tc>
        <w:tc>
          <w:tcPr>
            <w:tcW w:w="1509"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Inadmisibles</w:t>
            </w:r>
          </w:p>
        </w:tc>
        <w:tc>
          <w:tcPr>
            <w:tcW w:w="1334"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Admisibles</w:t>
            </w:r>
          </w:p>
        </w:tc>
        <w:tc>
          <w:tcPr>
            <w:tcW w:w="1381"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Adjudicados</w:t>
            </w:r>
          </w:p>
        </w:tc>
        <w:tc>
          <w:tcPr>
            <w:tcW w:w="1421" w:type="dxa"/>
            <w:tcBorders>
              <w:top w:val="single" w:sz="4" w:space="0" w:color="auto"/>
              <w:left w:val="nil"/>
              <w:bottom w:val="single" w:sz="4" w:space="0" w:color="auto"/>
              <w:right w:val="single" w:sz="4" w:space="0" w:color="auto"/>
            </w:tcBorders>
            <w:shd w:val="clear" w:color="000000" w:fill="C4BD97"/>
            <w:vAlign w:val="center"/>
            <w:hideMark/>
          </w:tcPr>
          <w:p w:rsidR="00B941CF" w:rsidRPr="008C3DE8" w:rsidRDefault="00B941CF" w:rsidP="00B941CF">
            <w:pPr>
              <w:spacing w:after="0" w:line="240" w:lineRule="auto"/>
              <w:jc w:val="center"/>
              <w:rPr>
                <w:rFonts w:ascii="Calibri" w:eastAsia="Times New Roman" w:hAnsi="Calibri" w:cs="Calibri"/>
                <w:b/>
                <w:bCs/>
                <w:color w:val="000000"/>
                <w:lang w:eastAsia="es-CL"/>
              </w:rPr>
            </w:pPr>
            <w:r w:rsidRPr="008C3DE8">
              <w:rPr>
                <w:rFonts w:ascii="Calibri" w:eastAsia="Times New Roman" w:hAnsi="Calibri" w:cs="Calibri"/>
                <w:b/>
                <w:bCs/>
                <w:color w:val="000000"/>
                <w:lang w:eastAsia="es-CL"/>
              </w:rPr>
              <w:t>Monto</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15</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 xml:space="preserve">Arica y </w:t>
            </w:r>
            <w:proofErr w:type="spellStart"/>
            <w:r w:rsidRPr="008C3DE8">
              <w:rPr>
                <w:rFonts w:ascii="Calibri" w:eastAsia="Times New Roman" w:hAnsi="Calibri" w:cs="Calibri"/>
                <w:sz w:val="20"/>
                <w:szCs w:val="20"/>
                <w:lang w:eastAsia="es-CL"/>
              </w:rPr>
              <w:t>Parinacota</w:t>
            </w:r>
            <w:proofErr w:type="spellEnd"/>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0</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$ 6.151.500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Tarapacá</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0</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0</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2</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Antofagasta</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9</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7</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4</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$ 36.943.350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3</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Atacama</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5</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3</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0</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4</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Coquimbo</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8</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7</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4</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$ 37.596.792</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5</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Valparaíso</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36</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11</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25</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12</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$ 88.028.155</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13</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Metropolitana</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41</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10</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31</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9</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$ 87.783.316</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6</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O'Higgins</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16</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6</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10</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3</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$ 20.352.613</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7</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Maule</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14</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4</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10</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2</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$ 10.470.496</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8</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Biobío</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26</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24</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9</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$ 79.058.512</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9</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Araucanía</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12</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3</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9</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$ 8.791.600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14</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Los Ríos</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12</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0</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12</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5</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$ 42.614.941</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10</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Los Lagos</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20</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5</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15</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6</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$ 61.720.560</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11</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Aysén</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0</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2</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2</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$ 8.991.488</w:t>
            </w:r>
          </w:p>
        </w:tc>
      </w:tr>
      <w:tr w:rsidR="00B941CF" w:rsidRPr="008C3DE8" w:rsidTr="00B941CF">
        <w:trPr>
          <w:trHeight w:val="302"/>
        </w:trPr>
        <w:tc>
          <w:tcPr>
            <w:tcW w:w="395" w:type="dxa"/>
            <w:tcBorders>
              <w:top w:val="nil"/>
              <w:left w:val="single" w:sz="4" w:space="0" w:color="auto"/>
              <w:bottom w:val="single" w:sz="4" w:space="0" w:color="auto"/>
              <w:right w:val="single" w:sz="4" w:space="0" w:color="auto"/>
            </w:tcBorders>
            <w:shd w:val="clear" w:color="000000" w:fill="C4D79B"/>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12</w:t>
            </w:r>
          </w:p>
        </w:tc>
        <w:tc>
          <w:tcPr>
            <w:tcW w:w="2120" w:type="dxa"/>
            <w:tcBorders>
              <w:top w:val="nil"/>
              <w:left w:val="nil"/>
              <w:bottom w:val="single" w:sz="4" w:space="0" w:color="auto"/>
              <w:right w:val="single" w:sz="4" w:space="0" w:color="auto"/>
            </w:tcBorders>
            <w:shd w:val="clear" w:color="000000" w:fill="C4D79B"/>
            <w:vAlign w:val="center"/>
            <w:hideMark/>
          </w:tcPr>
          <w:p w:rsidR="00B941CF" w:rsidRPr="008C3DE8" w:rsidRDefault="00B941CF" w:rsidP="00B941CF">
            <w:pPr>
              <w:spacing w:after="0" w:line="240" w:lineRule="auto"/>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Magallanes</w:t>
            </w:r>
          </w:p>
        </w:tc>
        <w:tc>
          <w:tcPr>
            <w:tcW w:w="1533"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8</w:t>
            </w:r>
          </w:p>
        </w:tc>
        <w:tc>
          <w:tcPr>
            <w:tcW w:w="1509"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1</w:t>
            </w:r>
          </w:p>
        </w:tc>
        <w:tc>
          <w:tcPr>
            <w:tcW w:w="1334"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sz w:val="20"/>
                <w:szCs w:val="20"/>
                <w:lang w:eastAsia="es-CL"/>
              </w:rPr>
            </w:pPr>
            <w:r w:rsidRPr="008C3DE8">
              <w:rPr>
                <w:rFonts w:ascii="Calibri" w:eastAsia="Times New Roman" w:hAnsi="Calibri" w:cs="Calibri"/>
                <w:sz w:val="20"/>
                <w:szCs w:val="20"/>
                <w:lang w:eastAsia="es-CL"/>
              </w:rPr>
              <w:t>7</w:t>
            </w:r>
          </w:p>
        </w:tc>
        <w:tc>
          <w:tcPr>
            <w:tcW w:w="1381" w:type="dxa"/>
            <w:tcBorders>
              <w:top w:val="nil"/>
              <w:left w:val="nil"/>
              <w:bottom w:val="single" w:sz="4" w:space="0" w:color="auto"/>
              <w:right w:val="single" w:sz="4" w:space="0" w:color="auto"/>
            </w:tcBorders>
            <w:shd w:val="clear" w:color="000000" w:fill="D8E4BC"/>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3</w:t>
            </w:r>
          </w:p>
        </w:tc>
        <w:tc>
          <w:tcPr>
            <w:tcW w:w="1421" w:type="dxa"/>
            <w:tcBorders>
              <w:top w:val="nil"/>
              <w:left w:val="nil"/>
              <w:bottom w:val="single" w:sz="4" w:space="0" w:color="auto"/>
              <w:right w:val="single" w:sz="4" w:space="0" w:color="auto"/>
            </w:tcBorders>
            <w:shd w:val="clear" w:color="000000" w:fill="EBF1DE"/>
            <w:noWrap/>
            <w:vAlign w:val="center"/>
            <w:hideMark/>
          </w:tcPr>
          <w:p w:rsidR="00B941CF" w:rsidRPr="008C3DE8" w:rsidRDefault="00B941CF" w:rsidP="00B941CF">
            <w:pPr>
              <w:spacing w:after="0" w:line="240" w:lineRule="auto"/>
              <w:jc w:val="center"/>
              <w:rPr>
                <w:rFonts w:ascii="Calibri" w:eastAsia="Times New Roman" w:hAnsi="Calibri" w:cs="Calibri"/>
                <w:b/>
                <w:bCs/>
                <w:sz w:val="20"/>
                <w:szCs w:val="20"/>
                <w:lang w:eastAsia="es-CL"/>
              </w:rPr>
            </w:pPr>
            <w:r w:rsidRPr="008C3DE8">
              <w:rPr>
                <w:rFonts w:ascii="Calibri" w:eastAsia="Times New Roman" w:hAnsi="Calibri" w:cs="Calibri"/>
                <w:b/>
                <w:bCs/>
                <w:sz w:val="20"/>
                <w:szCs w:val="20"/>
                <w:lang w:eastAsia="es-CL"/>
              </w:rPr>
              <w:t>$ 17.877.677</w:t>
            </w:r>
          </w:p>
        </w:tc>
      </w:tr>
      <w:tr w:rsidR="00B941CF" w:rsidRPr="008C3DE8" w:rsidTr="00B941CF">
        <w:trPr>
          <w:trHeight w:val="302"/>
        </w:trPr>
        <w:tc>
          <w:tcPr>
            <w:tcW w:w="2514" w:type="dxa"/>
            <w:gridSpan w:val="2"/>
            <w:tcBorders>
              <w:top w:val="single" w:sz="4" w:space="0" w:color="auto"/>
              <w:left w:val="single" w:sz="4" w:space="0" w:color="auto"/>
              <w:bottom w:val="single" w:sz="4" w:space="0" w:color="auto"/>
              <w:right w:val="single" w:sz="4" w:space="0" w:color="000000"/>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Totales</w:t>
            </w:r>
          </w:p>
        </w:tc>
        <w:tc>
          <w:tcPr>
            <w:tcW w:w="1533" w:type="dxa"/>
            <w:tcBorders>
              <w:top w:val="nil"/>
              <w:left w:val="nil"/>
              <w:bottom w:val="single" w:sz="4" w:space="0" w:color="auto"/>
              <w:right w:val="single" w:sz="4" w:space="0" w:color="auto"/>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212</w:t>
            </w:r>
          </w:p>
        </w:tc>
        <w:tc>
          <w:tcPr>
            <w:tcW w:w="1509" w:type="dxa"/>
            <w:tcBorders>
              <w:top w:val="nil"/>
              <w:left w:val="nil"/>
              <w:bottom w:val="single" w:sz="4" w:space="0" w:color="auto"/>
              <w:right w:val="single" w:sz="4" w:space="0" w:color="auto"/>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49</w:t>
            </w:r>
          </w:p>
        </w:tc>
        <w:tc>
          <w:tcPr>
            <w:tcW w:w="1334" w:type="dxa"/>
            <w:tcBorders>
              <w:top w:val="nil"/>
              <w:left w:val="nil"/>
              <w:bottom w:val="single" w:sz="4" w:space="0" w:color="auto"/>
              <w:right w:val="single" w:sz="4" w:space="0" w:color="auto"/>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163</w:t>
            </w:r>
          </w:p>
        </w:tc>
        <w:tc>
          <w:tcPr>
            <w:tcW w:w="1381" w:type="dxa"/>
            <w:tcBorders>
              <w:top w:val="nil"/>
              <w:left w:val="nil"/>
              <w:bottom w:val="single" w:sz="4" w:space="0" w:color="auto"/>
              <w:right w:val="single" w:sz="4" w:space="0" w:color="auto"/>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61</w:t>
            </w:r>
          </w:p>
        </w:tc>
        <w:tc>
          <w:tcPr>
            <w:tcW w:w="1421" w:type="dxa"/>
            <w:tcBorders>
              <w:top w:val="nil"/>
              <w:left w:val="nil"/>
              <w:bottom w:val="single" w:sz="4" w:space="0" w:color="auto"/>
              <w:right w:val="single" w:sz="4" w:space="0" w:color="auto"/>
            </w:tcBorders>
            <w:shd w:val="clear" w:color="000000" w:fill="C4BD97"/>
            <w:noWrap/>
            <w:vAlign w:val="center"/>
            <w:hideMark/>
          </w:tcPr>
          <w:p w:rsidR="00B941CF" w:rsidRPr="008C3DE8" w:rsidRDefault="00B941CF" w:rsidP="00B941CF">
            <w:pPr>
              <w:spacing w:after="0" w:line="240" w:lineRule="auto"/>
              <w:jc w:val="center"/>
              <w:rPr>
                <w:rFonts w:ascii="Calibri" w:eastAsia="Times New Roman" w:hAnsi="Calibri" w:cs="Calibri"/>
                <w:b/>
                <w:bCs/>
                <w:color w:val="000000"/>
                <w:sz w:val="20"/>
                <w:szCs w:val="20"/>
                <w:lang w:eastAsia="es-CL"/>
              </w:rPr>
            </w:pPr>
            <w:r w:rsidRPr="008C3DE8">
              <w:rPr>
                <w:rFonts w:ascii="Calibri" w:eastAsia="Times New Roman" w:hAnsi="Calibri" w:cs="Calibri"/>
                <w:b/>
                <w:bCs/>
                <w:color w:val="000000"/>
                <w:sz w:val="20"/>
                <w:szCs w:val="20"/>
                <w:lang w:eastAsia="es-CL"/>
              </w:rPr>
              <w:t>$ 506.381.000</w:t>
            </w:r>
          </w:p>
        </w:tc>
      </w:tr>
    </w:tbl>
    <w:p w:rsidR="00B941CF" w:rsidRDefault="00B941CF" w:rsidP="007F7871">
      <w:pPr>
        <w:pStyle w:val="Prrafodelista"/>
        <w:numPr>
          <w:ilvl w:val="1"/>
          <w:numId w:val="8"/>
        </w:numPr>
        <w:rPr>
          <w:b/>
          <w:sz w:val="24"/>
          <w:szCs w:val="24"/>
          <w:lang w:val="es-ES_tradnl" w:eastAsia="zh-TW"/>
        </w:rPr>
      </w:pPr>
      <w:r w:rsidRPr="007F7871">
        <w:rPr>
          <w:b/>
          <w:sz w:val="24"/>
          <w:szCs w:val="24"/>
          <w:lang w:val="es-ES_tradnl" w:eastAsia="zh-TW"/>
        </w:rPr>
        <w:lastRenderedPageBreak/>
        <w:t>Distribución comunal de comuna de los proyectos postulados y proyectos seleccionados.</w:t>
      </w:r>
    </w:p>
    <w:p w:rsidR="00E0187E" w:rsidRDefault="00E0187E" w:rsidP="004E40D3">
      <w:pPr>
        <w:pStyle w:val="Prrafodelista"/>
        <w:jc w:val="both"/>
        <w:rPr>
          <w:b/>
          <w:sz w:val="24"/>
          <w:szCs w:val="24"/>
          <w:lang w:val="es-ES_tradnl" w:eastAsia="zh-TW"/>
        </w:rPr>
      </w:pPr>
    </w:p>
    <w:p w:rsidR="00E0187E" w:rsidRPr="004E40D3" w:rsidRDefault="00E0187E" w:rsidP="004E40D3">
      <w:pPr>
        <w:pStyle w:val="Prrafodelista"/>
        <w:spacing w:line="360" w:lineRule="auto"/>
        <w:jc w:val="both"/>
        <w:rPr>
          <w:rFonts w:ascii="Verdana" w:hAnsi="Verdana"/>
          <w:sz w:val="18"/>
          <w:szCs w:val="18"/>
          <w:lang w:val="es-ES_tradnl" w:eastAsia="zh-TW"/>
        </w:rPr>
      </w:pPr>
      <w:r w:rsidRPr="004E40D3">
        <w:rPr>
          <w:rFonts w:ascii="Verdana" w:hAnsi="Verdana"/>
          <w:sz w:val="18"/>
          <w:szCs w:val="18"/>
          <w:lang w:val="es-ES_tradnl" w:eastAsia="zh-TW"/>
        </w:rPr>
        <w:t>De las 13 regiones que adjudican proyectos podemos señalar</w:t>
      </w:r>
      <w:r w:rsidR="0043681F" w:rsidRPr="004E40D3">
        <w:rPr>
          <w:rFonts w:ascii="Verdana" w:hAnsi="Verdana"/>
          <w:sz w:val="18"/>
          <w:szCs w:val="18"/>
          <w:lang w:val="es-ES_tradnl" w:eastAsia="zh-TW"/>
        </w:rPr>
        <w:t xml:space="preserve"> que</w:t>
      </w:r>
      <w:r w:rsidRPr="004E40D3">
        <w:rPr>
          <w:rFonts w:ascii="Verdana" w:hAnsi="Verdana"/>
          <w:sz w:val="18"/>
          <w:szCs w:val="18"/>
          <w:lang w:val="es-ES_tradnl" w:eastAsia="zh-TW"/>
        </w:rPr>
        <w:t>:</w:t>
      </w:r>
    </w:p>
    <w:p w:rsidR="0043681F" w:rsidRPr="004E40D3" w:rsidRDefault="0043681F" w:rsidP="004E40D3">
      <w:pPr>
        <w:pStyle w:val="Prrafodelista"/>
        <w:spacing w:line="360" w:lineRule="auto"/>
        <w:jc w:val="both"/>
        <w:rPr>
          <w:rFonts w:ascii="Verdana" w:hAnsi="Verdana"/>
          <w:sz w:val="18"/>
          <w:szCs w:val="18"/>
          <w:lang w:val="es-ES_tradnl" w:eastAsia="zh-TW"/>
        </w:rPr>
      </w:pPr>
    </w:p>
    <w:p w:rsidR="00E0187E" w:rsidRDefault="002905CB" w:rsidP="004E40D3">
      <w:pPr>
        <w:pStyle w:val="Prrafodelista"/>
        <w:numPr>
          <w:ilvl w:val="0"/>
          <w:numId w:val="5"/>
        </w:numPr>
        <w:spacing w:line="360" w:lineRule="auto"/>
        <w:jc w:val="both"/>
        <w:rPr>
          <w:rFonts w:ascii="Verdana" w:hAnsi="Verdana"/>
          <w:sz w:val="18"/>
          <w:szCs w:val="18"/>
          <w:lang w:val="es-ES_tradnl" w:eastAsia="zh-TW"/>
        </w:rPr>
      </w:pPr>
      <w:r>
        <w:rPr>
          <w:rFonts w:ascii="Verdana" w:hAnsi="Verdana"/>
          <w:sz w:val="18"/>
          <w:szCs w:val="18"/>
          <w:lang w:val="es-ES_tradnl" w:eastAsia="zh-TW"/>
        </w:rPr>
        <w:t>102</w:t>
      </w:r>
      <w:r w:rsidR="00E0187E" w:rsidRPr="004E40D3">
        <w:rPr>
          <w:rFonts w:ascii="Verdana" w:hAnsi="Verdana"/>
          <w:sz w:val="18"/>
          <w:szCs w:val="18"/>
          <w:lang w:val="es-ES_tradnl" w:eastAsia="zh-TW"/>
        </w:rPr>
        <w:t xml:space="preserve"> de las 346 comunas de nuestro país </w:t>
      </w:r>
      <w:r w:rsidR="00A06ADD" w:rsidRPr="004E40D3">
        <w:rPr>
          <w:rFonts w:ascii="Verdana" w:hAnsi="Verdana"/>
          <w:sz w:val="18"/>
          <w:szCs w:val="18"/>
          <w:lang w:val="es-ES_tradnl" w:eastAsia="zh-TW"/>
        </w:rPr>
        <w:t xml:space="preserve">presentaron proyectos, de los cuales quedaron 163 proyectos admisibles </w:t>
      </w:r>
      <w:r>
        <w:rPr>
          <w:rFonts w:ascii="Verdana" w:hAnsi="Verdana"/>
          <w:sz w:val="18"/>
          <w:szCs w:val="18"/>
          <w:lang w:val="es-ES_tradnl" w:eastAsia="zh-TW"/>
        </w:rPr>
        <w:t>correspondientes a 84</w:t>
      </w:r>
      <w:r w:rsidR="00A06ADD" w:rsidRPr="004E40D3">
        <w:rPr>
          <w:rFonts w:ascii="Verdana" w:hAnsi="Verdana"/>
          <w:sz w:val="18"/>
          <w:szCs w:val="18"/>
          <w:lang w:val="es-ES_tradnl" w:eastAsia="zh-TW"/>
        </w:rPr>
        <w:t xml:space="preserve"> comunas.</w:t>
      </w:r>
    </w:p>
    <w:p w:rsidR="00087CFD" w:rsidRPr="00087CFD" w:rsidRDefault="00A06ADD" w:rsidP="00087CFD">
      <w:pPr>
        <w:pStyle w:val="Prrafodelista"/>
        <w:numPr>
          <w:ilvl w:val="0"/>
          <w:numId w:val="5"/>
        </w:numPr>
        <w:spacing w:line="360" w:lineRule="auto"/>
        <w:jc w:val="both"/>
        <w:rPr>
          <w:rFonts w:ascii="Verdana" w:hAnsi="Verdana"/>
          <w:sz w:val="18"/>
          <w:szCs w:val="18"/>
          <w:lang w:val="es-ES_tradnl" w:eastAsia="zh-TW"/>
        </w:rPr>
      </w:pPr>
      <w:r w:rsidRPr="004E40D3">
        <w:rPr>
          <w:rFonts w:ascii="Verdana" w:hAnsi="Verdana"/>
          <w:sz w:val="18"/>
          <w:szCs w:val="18"/>
          <w:lang w:val="es-ES_tradnl" w:eastAsia="zh-TW"/>
        </w:rPr>
        <w:t>La comuna de Santiago, correspondiente a la región Metropolitana presenta la cifra más alta de postulación, 13 proyectos, de los cuales 10 proyectos se declararon admisibles</w:t>
      </w:r>
      <w:r w:rsidR="00087CFD">
        <w:rPr>
          <w:rFonts w:ascii="Verdana" w:hAnsi="Verdana"/>
          <w:sz w:val="18"/>
          <w:szCs w:val="18"/>
          <w:lang w:val="es-ES_tradnl" w:eastAsia="zh-TW"/>
        </w:rPr>
        <w:t xml:space="preserve"> y 4 fueron adjudicados.</w:t>
      </w:r>
    </w:p>
    <w:p w:rsidR="00A06ADD" w:rsidRDefault="00A06ADD" w:rsidP="004E40D3">
      <w:pPr>
        <w:pStyle w:val="Prrafodelista"/>
        <w:numPr>
          <w:ilvl w:val="0"/>
          <w:numId w:val="5"/>
        </w:numPr>
        <w:spacing w:line="360" w:lineRule="auto"/>
        <w:jc w:val="both"/>
        <w:rPr>
          <w:rFonts w:ascii="Verdana" w:hAnsi="Verdana"/>
          <w:sz w:val="18"/>
          <w:szCs w:val="18"/>
          <w:lang w:val="es-ES_tradnl" w:eastAsia="zh-TW"/>
        </w:rPr>
      </w:pPr>
      <w:r w:rsidRPr="004E40D3">
        <w:rPr>
          <w:rFonts w:ascii="Verdana" w:hAnsi="Verdana"/>
          <w:sz w:val="18"/>
          <w:szCs w:val="18"/>
          <w:lang w:val="es-ES_tradnl" w:eastAsia="zh-TW"/>
        </w:rPr>
        <w:t>Las comunas de Antofagasta y Punta Arenas presentaron 6 proyectos cada una, quedando admisibles las misma cantidad, adjudicando 4 y 2 proyectos respectivamente.</w:t>
      </w:r>
    </w:p>
    <w:tbl>
      <w:tblPr>
        <w:tblW w:w="5684" w:type="dxa"/>
        <w:jc w:val="center"/>
        <w:tblInd w:w="2593" w:type="dxa"/>
        <w:tblCellMar>
          <w:left w:w="70" w:type="dxa"/>
          <w:right w:w="70" w:type="dxa"/>
        </w:tblCellMar>
        <w:tblLook w:val="04A0" w:firstRow="1" w:lastRow="0" w:firstColumn="1" w:lastColumn="0" w:noHBand="0" w:noVBand="1"/>
      </w:tblPr>
      <w:tblGrid>
        <w:gridCol w:w="1421"/>
        <w:gridCol w:w="1421"/>
        <w:gridCol w:w="1421"/>
        <w:gridCol w:w="1421"/>
      </w:tblGrid>
      <w:tr w:rsidR="00436C61" w:rsidRPr="00436C61" w:rsidTr="00436C61">
        <w:trPr>
          <w:trHeight w:val="376"/>
          <w:jc w:val="center"/>
        </w:trPr>
        <w:tc>
          <w:tcPr>
            <w:tcW w:w="1421"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436C61" w:rsidRPr="00436C61" w:rsidRDefault="00436C61" w:rsidP="00436C61">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Comuna</w:t>
            </w:r>
          </w:p>
        </w:tc>
        <w:tc>
          <w:tcPr>
            <w:tcW w:w="1421" w:type="dxa"/>
            <w:tcBorders>
              <w:top w:val="single" w:sz="8" w:space="0" w:color="auto"/>
              <w:left w:val="nil"/>
              <w:bottom w:val="single" w:sz="8" w:space="0" w:color="auto"/>
              <w:right w:val="single" w:sz="4" w:space="0" w:color="auto"/>
            </w:tcBorders>
            <w:shd w:val="clear" w:color="000000" w:fill="C4D79B"/>
            <w:vAlign w:val="center"/>
            <w:hideMark/>
          </w:tcPr>
          <w:p w:rsidR="00436C61" w:rsidRPr="00436C61" w:rsidRDefault="00436C61" w:rsidP="00436C61">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Postulados</w:t>
            </w:r>
          </w:p>
        </w:tc>
        <w:tc>
          <w:tcPr>
            <w:tcW w:w="1421" w:type="dxa"/>
            <w:tcBorders>
              <w:top w:val="single" w:sz="8" w:space="0" w:color="auto"/>
              <w:left w:val="nil"/>
              <w:bottom w:val="single" w:sz="8" w:space="0" w:color="auto"/>
              <w:right w:val="nil"/>
            </w:tcBorders>
            <w:shd w:val="clear" w:color="000000" w:fill="C4D79B"/>
            <w:vAlign w:val="center"/>
            <w:hideMark/>
          </w:tcPr>
          <w:p w:rsidR="00436C61" w:rsidRPr="00436C61" w:rsidRDefault="00436C61" w:rsidP="00436C61">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Admisibles</w:t>
            </w:r>
          </w:p>
        </w:tc>
        <w:tc>
          <w:tcPr>
            <w:tcW w:w="1421" w:type="dxa"/>
            <w:tcBorders>
              <w:top w:val="single" w:sz="8" w:space="0" w:color="auto"/>
              <w:left w:val="single" w:sz="4" w:space="0" w:color="auto"/>
              <w:bottom w:val="single" w:sz="8" w:space="0" w:color="auto"/>
              <w:right w:val="single" w:sz="8" w:space="0" w:color="auto"/>
            </w:tcBorders>
            <w:shd w:val="clear" w:color="000000" w:fill="C4D79B"/>
            <w:vAlign w:val="center"/>
            <w:hideMark/>
          </w:tcPr>
          <w:p w:rsidR="00436C61" w:rsidRPr="00436C61" w:rsidRDefault="00436C61" w:rsidP="00436C61">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Adjudicados</w:t>
            </w:r>
          </w:p>
        </w:tc>
      </w:tr>
      <w:tr w:rsidR="00436C61" w:rsidRPr="00436C61" w:rsidTr="00436C61">
        <w:trPr>
          <w:trHeight w:val="376"/>
          <w:jc w:val="center"/>
        </w:trPr>
        <w:tc>
          <w:tcPr>
            <w:tcW w:w="1421"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436C61" w:rsidRPr="00436C61" w:rsidRDefault="00436C61" w:rsidP="00436C61">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Santiago</w:t>
            </w:r>
          </w:p>
        </w:tc>
        <w:tc>
          <w:tcPr>
            <w:tcW w:w="1421" w:type="dxa"/>
            <w:tcBorders>
              <w:top w:val="single" w:sz="4" w:space="0" w:color="auto"/>
              <w:left w:val="nil"/>
              <w:bottom w:val="single" w:sz="8" w:space="0" w:color="auto"/>
              <w:right w:val="single" w:sz="4" w:space="0" w:color="auto"/>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13</w:t>
            </w:r>
          </w:p>
        </w:tc>
        <w:tc>
          <w:tcPr>
            <w:tcW w:w="1421" w:type="dxa"/>
            <w:tcBorders>
              <w:top w:val="single" w:sz="4" w:space="0" w:color="auto"/>
              <w:left w:val="nil"/>
              <w:bottom w:val="single" w:sz="8" w:space="0" w:color="auto"/>
              <w:right w:val="nil"/>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10</w:t>
            </w:r>
          </w:p>
        </w:tc>
        <w:tc>
          <w:tcPr>
            <w:tcW w:w="1421" w:type="dxa"/>
            <w:tcBorders>
              <w:top w:val="single" w:sz="4" w:space="0" w:color="auto"/>
              <w:left w:val="single" w:sz="4" w:space="0" w:color="auto"/>
              <w:bottom w:val="single" w:sz="8" w:space="0" w:color="auto"/>
              <w:right w:val="single" w:sz="8" w:space="0" w:color="auto"/>
            </w:tcBorders>
            <w:shd w:val="clear" w:color="000000" w:fill="EBF1DE"/>
            <w:noWrap/>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4</w:t>
            </w:r>
          </w:p>
        </w:tc>
      </w:tr>
      <w:tr w:rsidR="00436C61" w:rsidRPr="00436C61" w:rsidTr="00436C61">
        <w:trPr>
          <w:trHeight w:val="358"/>
          <w:jc w:val="center"/>
        </w:trPr>
        <w:tc>
          <w:tcPr>
            <w:tcW w:w="1421" w:type="dxa"/>
            <w:tcBorders>
              <w:top w:val="nil"/>
              <w:left w:val="single" w:sz="4" w:space="0" w:color="auto"/>
              <w:bottom w:val="single" w:sz="4" w:space="0" w:color="auto"/>
              <w:right w:val="single" w:sz="4" w:space="0" w:color="auto"/>
            </w:tcBorders>
            <w:shd w:val="clear" w:color="000000" w:fill="EBF1DE"/>
            <w:vAlign w:val="center"/>
            <w:hideMark/>
          </w:tcPr>
          <w:p w:rsidR="00436C61" w:rsidRPr="00436C61" w:rsidRDefault="00436C61" w:rsidP="00436C61">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Antofagasta</w:t>
            </w:r>
          </w:p>
        </w:tc>
        <w:tc>
          <w:tcPr>
            <w:tcW w:w="1421" w:type="dxa"/>
            <w:tcBorders>
              <w:top w:val="nil"/>
              <w:left w:val="nil"/>
              <w:bottom w:val="single" w:sz="4" w:space="0" w:color="auto"/>
              <w:right w:val="single" w:sz="4" w:space="0" w:color="auto"/>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21" w:type="dxa"/>
            <w:tcBorders>
              <w:top w:val="nil"/>
              <w:left w:val="nil"/>
              <w:bottom w:val="single" w:sz="4" w:space="0" w:color="auto"/>
              <w:right w:val="single" w:sz="4" w:space="0" w:color="auto"/>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21" w:type="dxa"/>
            <w:tcBorders>
              <w:top w:val="nil"/>
              <w:left w:val="nil"/>
              <w:bottom w:val="nil"/>
              <w:right w:val="single" w:sz="8" w:space="0" w:color="auto"/>
            </w:tcBorders>
            <w:shd w:val="clear" w:color="000000" w:fill="EBF1DE"/>
            <w:noWrap/>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4</w:t>
            </w:r>
          </w:p>
        </w:tc>
      </w:tr>
      <w:tr w:rsidR="00436C61" w:rsidRPr="00436C61" w:rsidTr="00436C61">
        <w:trPr>
          <w:trHeight w:val="376"/>
          <w:jc w:val="center"/>
        </w:trPr>
        <w:tc>
          <w:tcPr>
            <w:tcW w:w="1421" w:type="dxa"/>
            <w:tcBorders>
              <w:top w:val="nil"/>
              <w:left w:val="single" w:sz="4" w:space="0" w:color="auto"/>
              <w:bottom w:val="single" w:sz="8" w:space="0" w:color="auto"/>
              <w:right w:val="single" w:sz="4" w:space="0" w:color="auto"/>
            </w:tcBorders>
            <w:shd w:val="clear" w:color="000000" w:fill="EBF1DE"/>
            <w:vAlign w:val="center"/>
            <w:hideMark/>
          </w:tcPr>
          <w:p w:rsidR="00436C61" w:rsidRPr="00436C61" w:rsidRDefault="00436C61" w:rsidP="00436C61">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Punta Arenas</w:t>
            </w:r>
          </w:p>
        </w:tc>
        <w:tc>
          <w:tcPr>
            <w:tcW w:w="1421" w:type="dxa"/>
            <w:tcBorders>
              <w:top w:val="nil"/>
              <w:left w:val="nil"/>
              <w:bottom w:val="single" w:sz="8" w:space="0" w:color="auto"/>
              <w:right w:val="single" w:sz="4" w:space="0" w:color="auto"/>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21" w:type="dxa"/>
            <w:tcBorders>
              <w:top w:val="nil"/>
              <w:left w:val="nil"/>
              <w:bottom w:val="single" w:sz="8" w:space="0" w:color="auto"/>
              <w:right w:val="nil"/>
            </w:tcBorders>
            <w:shd w:val="clear" w:color="000000" w:fill="EBF1DE"/>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21" w:type="dxa"/>
            <w:tcBorders>
              <w:top w:val="single" w:sz="4" w:space="0" w:color="auto"/>
              <w:left w:val="single" w:sz="4" w:space="0" w:color="auto"/>
              <w:bottom w:val="single" w:sz="8" w:space="0" w:color="auto"/>
              <w:right w:val="single" w:sz="8" w:space="0" w:color="auto"/>
            </w:tcBorders>
            <w:shd w:val="clear" w:color="000000" w:fill="EBF1DE"/>
            <w:noWrap/>
            <w:vAlign w:val="center"/>
            <w:hideMark/>
          </w:tcPr>
          <w:p w:rsidR="00436C61" w:rsidRPr="00436C61" w:rsidRDefault="00436C61" w:rsidP="00436C61">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2</w:t>
            </w:r>
          </w:p>
        </w:tc>
      </w:tr>
    </w:tbl>
    <w:p w:rsidR="00436C61" w:rsidRPr="00436C61" w:rsidRDefault="00436C61" w:rsidP="00436C61">
      <w:pPr>
        <w:spacing w:line="360" w:lineRule="auto"/>
        <w:jc w:val="both"/>
        <w:rPr>
          <w:rFonts w:ascii="Verdana" w:hAnsi="Verdana"/>
          <w:sz w:val="18"/>
          <w:szCs w:val="18"/>
          <w:lang w:val="es-ES_tradnl" w:eastAsia="zh-TW"/>
        </w:rPr>
      </w:pPr>
    </w:p>
    <w:p w:rsidR="00A06ADD" w:rsidRDefault="00A06ADD" w:rsidP="004E40D3">
      <w:pPr>
        <w:pStyle w:val="Prrafodelista"/>
        <w:numPr>
          <w:ilvl w:val="0"/>
          <w:numId w:val="5"/>
        </w:numPr>
        <w:spacing w:line="360" w:lineRule="auto"/>
        <w:jc w:val="both"/>
        <w:rPr>
          <w:rFonts w:ascii="Verdana" w:hAnsi="Verdana"/>
          <w:sz w:val="18"/>
          <w:szCs w:val="18"/>
          <w:lang w:val="es-ES_tradnl" w:eastAsia="zh-TW"/>
        </w:rPr>
      </w:pPr>
      <w:r w:rsidRPr="004E40D3">
        <w:rPr>
          <w:rFonts w:ascii="Verdana" w:hAnsi="Verdana"/>
          <w:sz w:val="18"/>
          <w:szCs w:val="18"/>
          <w:lang w:val="es-ES_tradnl" w:eastAsia="zh-TW"/>
        </w:rPr>
        <w:t>Con la misma cantidad de proyectos postulados (6)</w:t>
      </w:r>
      <w:r w:rsidR="004E40D3" w:rsidRPr="004E40D3">
        <w:rPr>
          <w:rFonts w:ascii="Verdana" w:hAnsi="Verdana"/>
          <w:sz w:val="18"/>
          <w:szCs w:val="18"/>
          <w:lang w:val="es-ES_tradnl" w:eastAsia="zh-TW"/>
        </w:rPr>
        <w:t xml:space="preserve"> que las regiones anteriormente señaladas</w:t>
      </w:r>
      <w:r w:rsidRPr="004E40D3">
        <w:rPr>
          <w:rFonts w:ascii="Verdana" w:hAnsi="Verdana"/>
          <w:sz w:val="18"/>
          <w:szCs w:val="18"/>
          <w:lang w:val="es-ES_tradnl" w:eastAsia="zh-TW"/>
        </w:rPr>
        <w:t xml:space="preserve">, pero con diferencias en la cantidad de admisibles, se encuentran las comunas de </w:t>
      </w:r>
      <w:r w:rsidR="004E40D3" w:rsidRPr="004E40D3">
        <w:rPr>
          <w:rFonts w:ascii="Verdana" w:hAnsi="Verdana"/>
          <w:sz w:val="18"/>
          <w:szCs w:val="18"/>
          <w:lang w:val="es-ES_tradnl" w:eastAsia="zh-TW"/>
        </w:rPr>
        <w:t>Valparaíso (5 proyectos admisibles), Concepción (4 proyectos admisibles) y Osorno (4 proyectos admisibles), siendo adjudicados</w:t>
      </w:r>
      <w:r w:rsidR="004E40D3">
        <w:rPr>
          <w:rFonts w:ascii="Verdana" w:hAnsi="Verdana"/>
          <w:sz w:val="18"/>
          <w:szCs w:val="18"/>
          <w:lang w:val="es-ES_tradnl" w:eastAsia="zh-TW"/>
        </w:rPr>
        <w:t xml:space="preserve"> la cantidad de</w:t>
      </w:r>
      <w:r w:rsidR="004E40D3" w:rsidRPr="004E40D3">
        <w:rPr>
          <w:rFonts w:ascii="Verdana" w:hAnsi="Verdana"/>
          <w:sz w:val="18"/>
          <w:szCs w:val="18"/>
          <w:lang w:val="es-ES_tradnl" w:eastAsia="zh-TW"/>
        </w:rPr>
        <w:t xml:space="preserve"> 3, </w:t>
      </w:r>
      <w:r w:rsidR="00436C61">
        <w:rPr>
          <w:rFonts w:ascii="Verdana" w:hAnsi="Verdana"/>
          <w:sz w:val="18"/>
          <w:szCs w:val="18"/>
          <w:lang w:val="es-ES_tradnl" w:eastAsia="zh-TW"/>
        </w:rPr>
        <w:t>1 y 2 proyectos respectivamente.</w:t>
      </w:r>
    </w:p>
    <w:tbl>
      <w:tblPr>
        <w:tblpPr w:leftFromText="141" w:rightFromText="141" w:vertAnchor="text" w:horzAnchor="margin" w:tblpXSpec="center" w:tblpY="164"/>
        <w:tblW w:w="5773" w:type="dxa"/>
        <w:tblCellMar>
          <w:left w:w="70" w:type="dxa"/>
          <w:right w:w="70" w:type="dxa"/>
        </w:tblCellMar>
        <w:tblLook w:val="04A0" w:firstRow="1" w:lastRow="0" w:firstColumn="1" w:lastColumn="0" w:noHBand="0" w:noVBand="1"/>
      </w:tblPr>
      <w:tblGrid>
        <w:gridCol w:w="1421"/>
        <w:gridCol w:w="1432"/>
        <w:gridCol w:w="1430"/>
        <w:gridCol w:w="1490"/>
      </w:tblGrid>
      <w:tr w:rsidR="00087CFD" w:rsidRPr="00436C61" w:rsidTr="00087CFD">
        <w:trPr>
          <w:trHeight w:val="406"/>
        </w:trPr>
        <w:tc>
          <w:tcPr>
            <w:tcW w:w="1421"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087CFD" w:rsidRPr="00436C61" w:rsidRDefault="00087CFD" w:rsidP="00087CFD">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Comuna</w:t>
            </w:r>
          </w:p>
        </w:tc>
        <w:tc>
          <w:tcPr>
            <w:tcW w:w="1432" w:type="dxa"/>
            <w:tcBorders>
              <w:top w:val="single" w:sz="8" w:space="0" w:color="auto"/>
              <w:left w:val="nil"/>
              <w:bottom w:val="single" w:sz="8" w:space="0" w:color="auto"/>
              <w:right w:val="single" w:sz="4" w:space="0" w:color="auto"/>
            </w:tcBorders>
            <w:shd w:val="clear" w:color="000000" w:fill="C4D79B"/>
            <w:vAlign w:val="center"/>
            <w:hideMark/>
          </w:tcPr>
          <w:p w:rsidR="00087CFD" w:rsidRPr="00436C61" w:rsidRDefault="00087CFD" w:rsidP="00087CFD">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Postulados</w:t>
            </w:r>
          </w:p>
        </w:tc>
        <w:tc>
          <w:tcPr>
            <w:tcW w:w="1430" w:type="dxa"/>
            <w:tcBorders>
              <w:top w:val="single" w:sz="8" w:space="0" w:color="auto"/>
              <w:left w:val="nil"/>
              <w:bottom w:val="single" w:sz="8" w:space="0" w:color="auto"/>
              <w:right w:val="nil"/>
            </w:tcBorders>
            <w:shd w:val="clear" w:color="000000" w:fill="C4D79B"/>
            <w:vAlign w:val="center"/>
            <w:hideMark/>
          </w:tcPr>
          <w:p w:rsidR="00087CFD" w:rsidRPr="00436C61" w:rsidRDefault="00087CFD" w:rsidP="00087CFD">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Admisibles</w:t>
            </w:r>
          </w:p>
        </w:tc>
        <w:tc>
          <w:tcPr>
            <w:tcW w:w="1490" w:type="dxa"/>
            <w:tcBorders>
              <w:top w:val="single" w:sz="8" w:space="0" w:color="auto"/>
              <w:left w:val="single" w:sz="4" w:space="0" w:color="auto"/>
              <w:bottom w:val="single" w:sz="8" w:space="0" w:color="auto"/>
              <w:right w:val="single" w:sz="8" w:space="0" w:color="auto"/>
            </w:tcBorders>
            <w:shd w:val="clear" w:color="000000" w:fill="C4D79B"/>
            <w:vAlign w:val="center"/>
            <w:hideMark/>
          </w:tcPr>
          <w:p w:rsidR="00087CFD" w:rsidRPr="00436C61" w:rsidRDefault="00087CFD" w:rsidP="00087CFD">
            <w:pPr>
              <w:spacing w:after="0" w:line="240" w:lineRule="auto"/>
              <w:jc w:val="center"/>
              <w:rPr>
                <w:rFonts w:ascii="Verdana" w:eastAsia="Times New Roman" w:hAnsi="Verdana" w:cs="Calibri"/>
                <w:b/>
                <w:bCs/>
                <w:color w:val="000000"/>
                <w:sz w:val="16"/>
                <w:szCs w:val="16"/>
                <w:lang w:eastAsia="es-CL"/>
              </w:rPr>
            </w:pPr>
            <w:r w:rsidRPr="00436C61">
              <w:rPr>
                <w:rFonts w:ascii="Verdana" w:eastAsia="Times New Roman" w:hAnsi="Verdana" w:cs="Calibri"/>
                <w:b/>
                <w:bCs/>
                <w:color w:val="000000"/>
                <w:sz w:val="16"/>
                <w:szCs w:val="16"/>
                <w:lang w:eastAsia="es-CL"/>
              </w:rPr>
              <w:t>Adjudicados</w:t>
            </w:r>
          </w:p>
        </w:tc>
      </w:tr>
      <w:tr w:rsidR="00087CFD" w:rsidRPr="00436C61" w:rsidTr="00087CFD">
        <w:trPr>
          <w:trHeight w:val="406"/>
        </w:trPr>
        <w:tc>
          <w:tcPr>
            <w:tcW w:w="1421"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Valparaíso</w:t>
            </w:r>
          </w:p>
        </w:tc>
        <w:tc>
          <w:tcPr>
            <w:tcW w:w="1432" w:type="dxa"/>
            <w:tcBorders>
              <w:top w:val="single" w:sz="4" w:space="0" w:color="auto"/>
              <w:left w:val="nil"/>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30" w:type="dxa"/>
            <w:tcBorders>
              <w:top w:val="single" w:sz="4" w:space="0" w:color="auto"/>
              <w:left w:val="nil"/>
              <w:bottom w:val="single" w:sz="4" w:space="0" w:color="auto"/>
              <w:right w:val="nil"/>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5</w:t>
            </w:r>
          </w:p>
        </w:tc>
        <w:tc>
          <w:tcPr>
            <w:tcW w:w="1490"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3</w:t>
            </w:r>
          </w:p>
        </w:tc>
      </w:tr>
      <w:tr w:rsidR="00087CFD" w:rsidRPr="00436C61" w:rsidTr="00087CFD">
        <w:trPr>
          <w:trHeight w:val="386"/>
        </w:trPr>
        <w:tc>
          <w:tcPr>
            <w:tcW w:w="1421" w:type="dxa"/>
            <w:tcBorders>
              <w:top w:val="nil"/>
              <w:left w:val="single" w:sz="4" w:space="0" w:color="auto"/>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Concepción</w:t>
            </w:r>
          </w:p>
        </w:tc>
        <w:tc>
          <w:tcPr>
            <w:tcW w:w="1432" w:type="dxa"/>
            <w:tcBorders>
              <w:top w:val="nil"/>
              <w:left w:val="nil"/>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30" w:type="dxa"/>
            <w:tcBorders>
              <w:top w:val="nil"/>
              <w:left w:val="nil"/>
              <w:bottom w:val="single" w:sz="4" w:space="0" w:color="auto"/>
              <w:right w:val="nil"/>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4</w:t>
            </w:r>
          </w:p>
        </w:tc>
        <w:tc>
          <w:tcPr>
            <w:tcW w:w="1490" w:type="dxa"/>
            <w:tcBorders>
              <w:top w:val="nil"/>
              <w:left w:val="single" w:sz="4" w:space="0" w:color="auto"/>
              <w:bottom w:val="single" w:sz="4" w:space="0" w:color="auto"/>
              <w:right w:val="single" w:sz="8" w:space="0" w:color="auto"/>
            </w:tcBorders>
            <w:shd w:val="clear" w:color="000000" w:fill="EBF1DE"/>
            <w:noWrap/>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1</w:t>
            </w:r>
          </w:p>
        </w:tc>
      </w:tr>
      <w:tr w:rsidR="00087CFD" w:rsidRPr="00436C61" w:rsidTr="00087CFD">
        <w:trPr>
          <w:trHeight w:val="406"/>
        </w:trPr>
        <w:tc>
          <w:tcPr>
            <w:tcW w:w="1421" w:type="dxa"/>
            <w:tcBorders>
              <w:top w:val="nil"/>
              <w:left w:val="single" w:sz="4" w:space="0" w:color="auto"/>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Osorno</w:t>
            </w:r>
          </w:p>
        </w:tc>
        <w:tc>
          <w:tcPr>
            <w:tcW w:w="1432" w:type="dxa"/>
            <w:tcBorders>
              <w:top w:val="nil"/>
              <w:left w:val="nil"/>
              <w:bottom w:val="single" w:sz="4" w:space="0" w:color="auto"/>
              <w:right w:val="single" w:sz="4" w:space="0" w:color="auto"/>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6</w:t>
            </w:r>
          </w:p>
        </w:tc>
        <w:tc>
          <w:tcPr>
            <w:tcW w:w="1430" w:type="dxa"/>
            <w:tcBorders>
              <w:top w:val="nil"/>
              <w:left w:val="nil"/>
              <w:bottom w:val="single" w:sz="4" w:space="0" w:color="auto"/>
              <w:right w:val="nil"/>
            </w:tcBorders>
            <w:shd w:val="clear" w:color="000000" w:fill="EBF1DE"/>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4</w:t>
            </w:r>
          </w:p>
        </w:tc>
        <w:tc>
          <w:tcPr>
            <w:tcW w:w="1490" w:type="dxa"/>
            <w:tcBorders>
              <w:top w:val="nil"/>
              <w:left w:val="single" w:sz="4" w:space="0" w:color="auto"/>
              <w:bottom w:val="single" w:sz="4" w:space="0" w:color="auto"/>
              <w:right w:val="single" w:sz="8" w:space="0" w:color="auto"/>
            </w:tcBorders>
            <w:shd w:val="clear" w:color="000000" w:fill="EBF1DE"/>
            <w:noWrap/>
            <w:vAlign w:val="center"/>
            <w:hideMark/>
          </w:tcPr>
          <w:p w:rsidR="00087CFD" w:rsidRPr="00436C61" w:rsidRDefault="00087CFD" w:rsidP="00087CFD">
            <w:pPr>
              <w:spacing w:after="0" w:line="240" w:lineRule="auto"/>
              <w:jc w:val="center"/>
              <w:rPr>
                <w:rFonts w:ascii="Verdana" w:eastAsia="Times New Roman" w:hAnsi="Verdana" w:cs="Calibri"/>
                <w:color w:val="000000"/>
                <w:sz w:val="16"/>
                <w:szCs w:val="16"/>
                <w:lang w:eastAsia="es-CL"/>
              </w:rPr>
            </w:pPr>
            <w:r w:rsidRPr="00436C61">
              <w:rPr>
                <w:rFonts w:ascii="Verdana" w:eastAsia="Times New Roman" w:hAnsi="Verdana" w:cs="Calibri"/>
                <w:color w:val="000000"/>
                <w:sz w:val="16"/>
                <w:szCs w:val="16"/>
                <w:lang w:eastAsia="es-CL"/>
              </w:rPr>
              <w:t>2</w:t>
            </w:r>
          </w:p>
        </w:tc>
      </w:tr>
    </w:tbl>
    <w:p w:rsidR="00087CFD" w:rsidRDefault="00087CFD" w:rsidP="00087CFD">
      <w:pPr>
        <w:spacing w:line="360" w:lineRule="auto"/>
        <w:jc w:val="both"/>
        <w:rPr>
          <w:rFonts w:ascii="Verdana" w:hAnsi="Verdana"/>
          <w:sz w:val="18"/>
          <w:szCs w:val="18"/>
          <w:lang w:val="es-ES_tradnl" w:eastAsia="zh-TW"/>
        </w:rPr>
      </w:pPr>
    </w:p>
    <w:p w:rsidR="00087CFD" w:rsidRDefault="00087CFD" w:rsidP="00087CFD">
      <w:pPr>
        <w:spacing w:line="360" w:lineRule="auto"/>
        <w:jc w:val="both"/>
        <w:rPr>
          <w:rFonts w:ascii="Verdana" w:hAnsi="Verdana"/>
          <w:sz w:val="18"/>
          <w:szCs w:val="18"/>
          <w:lang w:val="es-ES_tradnl" w:eastAsia="zh-TW"/>
        </w:rPr>
      </w:pPr>
    </w:p>
    <w:p w:rsidR="00087CFD" w:rsidRDefault="00087CFD" w:rsidP="00087CFD">
      <w:pPr>
        <w:spacing w:line="360" w:lineRule="auto"/>
        <w:jc w:val="both"/>
        <w:rPr>
          <w:rFonts w:ascii="Verdana" w:hAnsi="Verdana"/>
          <w:sz w:val="18"/>
          <w:szCs w:val="18"/>
          <w:lang w:val="es-ES_tradnl" w:eastAsia="zh-TW"/>
        </w:rPr>
      </w:pPr>
    </w:p>
    <w:p w:rsidR="00087CFD" w:rsidRDefault="00087CFD" w:rsidP="00087CFD">
      <w:pPr>
        <w:spacing w:line="360" w:lineRule="auto"/>
        <w:jc w:val="both"/>
        <w:rPr>
          <w:rFonts w:ascii="Verdana" w:hAnsi="Verdana"/>
          <w:sz w:val="18"/>
          <w:szCs w:val="18"/>
          <w:lang w:val="es-ES_tradnl" w:eastAsia="zh-TW"/>
        </w:rPr>
      </w:pPr>
    </w:p>
    <w:p w:rsidR="00087CFD" w:rsidRPr="00087CFD" w:rsidRDefault="00087CFD" w:rsidP="00087CFD">
      <w:pPr>
        <w:spacing w:line="360" w:lineRule="auto"/>
        <w:jc w:val="both"/>
        <w:rPr>
          <w:rFonts w:ascii="Verdana" w:hAnsi="Verdana"/>
          <w:sz w:val="18"/>
          <w:szCs w:val="18"/>
          <w:lang w:val="es-ES_tradnl" w:eastAsia="zh-TW"/>
        </w:rPr>
      </w:pPr>
    </w:p>
    <w:p w:rsidR="00436C61" w:rsidRDefault="00436C61" w:rsidP="00436C61">
      <w:pPr>
        <w:pStyle w:val="Prrafodelista"/>
        <w:spacing w:line="360" w:lineRule="auto"/>
        <w:ind w:left="831"/>
        <w:jc w:val="both"/>
        <w:rPr>
          <w:rFonts w:ascii="Verdana" w:hAnsi="Verdana"/>
          <w:sz w:val="18"/>
          <w:szCs w:val="18"/>
          <w:lang w:val="es-ES_tradnl" w:eastAsia="zh-TW"/>
        </w:rPr>
      </w:pPr>
    </w:p>
    <w:p w:rsidR="008F5A66" w:rsidRDefault="008F5A66" w:rsidP="00436C61">
      <w:pPr>
        <w:pStyle w:val="Prrafodelista"/>
        <w:spacing w:line="360" w:lineRule="auto"/>
        <w:ind w:left="831"/>
        <w:jc w:val="both"/>
        <w:rPr>
          <w:rFonts w:ascii="Verdana" w:hAnsi="Verdana"/>
          <w:sz w:val="18"/>
          <w:szCs w:val="18"/>
          <w:lang w:val="es-ES_tradnl" w:eastAsia="zh-TW"/>
        </w:rPr>
      </w:pPr>
    </w:p>
    <w:p w:rsidR="008F5A66" w:rsidRDefault="008F5A66" w:rsidP="00436C61">
      <w:pPr>
        <w:pStyle w:val="Prrafodelista"/>
        <w:spacing w:line="360" w:lineRule="auto"/>
        <w:ind w:left="831"/>
        <w:jc w:val="both"/>
        <w:rPr>
          <w:rFonts w:ascii="Verdana" w:hAnsi="Verdana"/>
          <w:sz w:val="18"/>
          <w:szCs w:val="18"/>
          <w:lang w:val="es-ES_tradnl" w:eastAsia="zh-TW"/>
        </w:rPr>
      </w:pPr>
    </w:p>
    <w:p w:rsidR="00087CFD" w:rsidRDefault="00087CFD" w:rsidP="00436C61">
      <w:pPr>
        <w:pStyle w:val="Prrafodelista"/>
        <w:spacing w:line="360" w:lineRule="auto"/>
        <w:ind w:left="831"/>
        <w:jc w:val="both"/>
        <w:rPr>
          <w:rFonts w:ascii="Verdana" w:hAnsi="Verdana"/>
          <w:sz w:val="18"/>
          <w:szCs w:val="18"/>
          <w:lang w:val="es-ES_tradnl" w:eastAsia="zh-TW"/>
        </w:rPr>
      </w:pPr>
    </w:p>
    <w:p w:rsidR="00087CFD" w:rsidRDefault="00087CFD" w:rsidP="00436C61">
      <w:pPr>
        <w:pStyle w:val="Prrafodelista"/>
        <w:spacing w:line="360" w:lineRule="auto"/>
        <w:ind w:left="831"/>
        <w:jc w:val="both"/>
        <w:rPr>
          <w:rFonts w:ascii="Verdana" w:hAnsi="Verdana"/>
          <w:sz w:val="18"/>
          <w:szCs w:val="18"/>
          <w:lang w:val="es-ES_tradnl" w:eastAsia="zh-TW"/>
        </w:rPr>
      </w:pPr>
    </w:p>
    <w:p w:rsidR="00087CFD" w:rsidRDefault="00087CFD" w:rsidP="00436C61">
      <w:pPr>
        <w:pStyle w:val="Prrafodelista"/>
        <w:spacing w:line="360" w:lineRule="auto"/>
        <w:ind w:left="831"/>
        <w:jc w:val="both"/>
        <w:rPr>
          <w:rFonts w:ascii="Verdana" w:hAnsi="Verdana"/>
          <w:sz w:val="18"/>
          <w:szCs w:val="18"/>
          <w:lang w:val="es-ES_tradnl" w:eastAsia="zh-TW"/>
        </w:rPr>
      </w:pPr>
    </w:p>
    <w:p w:rsidR="00E0187E" w:rsidRDefault="00436C61" w:rsidP="00087CFD">
      <w:pPr>
        <w:ind w:firstLine="471"/>
        <w:rPr>
          <w:rFonts w:ascii="Verdana" w:hAnsi="Verdana"/>
          <w:sz w:val="18"/>
          <w:szCs w:val="18"/>
          <w:lang w:val="es-ES_tradnl" w:eastAsia="zh-TW"/>
        </w:rPr>
      </w:pPr>
      <w:r>
        <w:rPr>
          <w:rFonts w:ascii="Verdana" w:hAnsi="Verdana"/>
          <w:sz w:val="18"/>
          <w:szCs w:val="18"/>
          <w:lang w:val="es-ES_tradnl" w:eastAsia="zh-TW"/>
        </w:rPr>
        <w:lastRenderedPageBreak/>
        <w:t xml:space="preserve">A continuación se presenta en detalle la distribución territorial de los proyectos </w:t>
      </w:r>
      <w:r w:rsidR="00087CFD">
        <w:rPr>
          <w:rFonts w:ascii="Verdana" w:hAnsi="Verdana"/>
          <w:sz w:val="18"/>
          <w:szCs w:val="18"/>
          <w:lang w:val="es-ES_tradnl" w:eastAsia="zh-TW"/>
        </w:rPr>
        <w:t xml:space="preserve">postulados, </w:t>
      </w:r>
      <w:r>
        <w:rPr>
          <w:rFonts w:ascii="Verdana" w:hAnsi="Verdana"/>
          <w:sz w:val="18"/>
          <w:szCs w:val="18"/>
          <w:lang w:val="es-ES_tradnl" w:eastAsia="zh-TW"/>
        </w:rPr>
        <w:t>admisibles y adjudicados</w:t>
      </w:r>
      <w:r w:rsidR="00087CFD">
        <w:rPr>
          <w:rFonts w:ascii="Verdana" w:hAnsi="Verdana"/>
          <w:sz w:val="18"/>
          <w:szCs w:val="18"/>
          <w:lang w:val="es-ES_tradnl" w:eastAsia="zh-TW"/>
        </w:rPr>
        <w:t xml:space="preserve"> por zona norte, centro y sur.</w:t>
      </w:r>
    </w:p>
    <w:p w:rsidR="00087CFD" w:rsidRPr="000934A8" w:rsidRDefault="00087CFD" w:rsidP="00087CFD">
      <w:pPr>
        <w:ind w:firstLine="471"/>
        <w:rPr>
          <w:rFonts w:ascii="Verdana" w:hAnsi="Verdana"/>
          <w:b/>
          <w:lang w:val="es-ES_tradnl" w:eastAsia="zh-TW"/>
        </w:rPr>
      </w:pPr>
      <w:r w:rsidRPr="000934A8">
        <w:rPr>
          <w:rFonts w:ascii="Verdana" w:hAnsi="Verdana"/>
          <w:b/>
          <w:lang w:val="es-ES_tradnl" w:eastAsia="zh-TW"/>
        </w:rPr>
        <w:t>Zona Norte.</w:t>
      </w:r>
    </w:p>
    <w:tbl>
      <w:tblPr>
        <w:tblW w:w="9872" w:type="dxa"/>
        <w:tblInd w:w="55" w:type="dxa"/>
        <w:tblCellMar>
          <w:left w:w="70" w:type="dxa"/>
          <w:right w:w="70" w:type="dxa"/>
        </w:tblCellMar>
        <w:tblLook w:val="04A0" w:firstRow="1" w:lastRow="0" w:firstColumn="1" w:lastColumn="0" w:noHBand="0" w:noVBand="1"/>
      </w:tblPr>
      <w:tblGrid>
        <w:gridCol w:w="2468"/>
        <w:gridCol w:w="1851"/>
        <w:gridCol w:w="1851"/>
        <w:gridCol w:w="1851"/>
        <w:gridCol w:w="1851"/>
      </w:tblGrid>
      <w:tr w:rsidR="000934A8" w:rsidRPr="000934A8" w:rsidTr="00ED0AF8">
        <w:trPr>
          <w:trHeight w:val="325"/>
        </w:trPr>
        <w:tc>
          <w:tcPr>
            <w:tcW w:w="2468" w:type="dxa"/>
            <w:tcBorders>
              <w:top w:val="single" w:sz="8" w:space="0" w:color="auto"/>
              <w:left w:val="single" w:sz="8" w:space="0" w:color="auto"/>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Región</w:t>
            </w:r>
          </w:p>
        </w:tc>
        <w:tc>
          <w:tcPr>
            <w:tcW w:w="1851"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Comuna</w:t>
            </w:r>
          </w:p>
        </w:tc>
        <w:tc>
          <w:tcPr>
            <w:tcW w:w="1851"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Postulados</w:t>
            </w:r>
          </w:p>
        </w:tc>
        <w:tc>
          <w:tcPr>
            <w:tcW w:w="1851" w:type="dxa"/>
            <w:tcBorders>
              <w:top w:val="single" w:sz="8" w:space="0" w:color="auto"/>
              <w:left w:val="nil"/>
              <w:bottom w:val="single" w:sz="8" w:space="0" w:color="auto"/>
              <w:right w:val="nil"/>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Admisibles</w:t>
            </w:r>
          </w:p>
        </w:tc>
        <w:tc>
          <w:tcPr>
            <w:tcW w:w="1851" w:type="dxa"/>
            <w:tcBorders>
              <w:top w:val="single" w:sz="8" w:space="0" w:color="auto"/>
              <w:left w:val="single" w:sz="4" w:space="0" w:color="auto"/>
              <w:bottom w:val="single" w:sz="8" w:space="0" w:color="auto"/>
              <w:right w:val="single" w:sz="8"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Adjudicados</w:t>
            </w:r>
          </w:p>
        </w:tc>
      </w:tr>
      <w:tr w:rsidR="000934A8" w:rsidRPr="000934A8" w:rsidTr="00ED0AF8">
        <w:trPr>
          <w:trHeight w:val="310"/>
        </w:trPr>
        <w:tc>
          <w:tcPr>
            <w:tcW w:w="246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 xml:space="preserve">Arica y </w:t>
            </w:r>
            <w:proofErr w:type="spellStart"/>
            <w:r w:rsidRPr="000934A8">
              <w:rPr>
                <w:rFonts w:ascii="Verdana" w:eastAsia="Times New Roman" w:hAnsi="Verdana" w:cs="Calibri"/>
                <w:color w:val="000000"/>
                <w:sz w:val="16"/>
                <w:szCs w:val="16"/>
                <w:lang w:eastAsia="es-CL"/>
              </w:rPr>
              <w:t>Parinacota</w:t>
            </w:r>
            <w:proofErr w:type="spellEnd"/>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Arica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Putre</w:t>
            </w:r>
            <w:proofErr w:type="spellEnd"/>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25"/>
        </w:trPr>
        <w:tc>
          <w:tcPr>
            <w:tcW w:w="2468" w:type="dxa"/>
            <w:tcBorders>
              <w:top w:val="nil"/>
              <w:left w:val="single" w:sz="8" w:space="0" w:color="auto"/>
              <w:bottom w:val="nil"/>
              <w:right w:val="nil"/>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Tarapacá</w:t>
            </w:r>
          </w:p>
        </w:tc>
        <w:tc>
          <w:tcPr>
            <w:tcW w:w="1851" w:type="dxa"/>
            <w:tcBorders>
              <w:top w:val="single" w:sz="4" w:space="0" w:color="auto"/>
              <w:left w:val="single" w:sz="4" w:space="0" w:color="auto"/>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s/d</w:t>
            </w:r>
          </w:p>
        </w:tc>
        <w:tc>
          <w:tcPr>
            <w:tcW w:w="1851" w:type="dxa"/>
            <w:tcBorders>
              <w:top w:val="single" w:sz="4" w:space="0" w:color="auto"/>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single" w:sz="4" w:space="0" w:color="auto"/>
              <w:left w:val="nil"/>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10"/>
        </w:trPr>
        <w:tc>
          <w:tcPr>
            <w:tcW w:w="2468" w:type="dxa"/>
            <w:vMerge w:val="restart"/>
            <w:tcBorders>
              <w:top w:val="single" w:sz="8" w:space="0" w:color="auto"/>
              <w:left w:val="single" w:sz="8" w:space="0" w:color="auto"/>
              <w:bottom w:val="nil"/>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Antofagasta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Antofagasta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851" w:type="dxa"/>
            <w:tcBorders>
              <w:top w:val="nil"/>
              <w:left w:val="nil"/>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r>
      <w:tr w:rsidR="000934A8" w:rsidRPr="000934A8" w:rsidTr="00ED0AF8">
        <w:trPr>
          <w:trHeight w:val="310"/>
        </w:trPr>
        <w:tc>
          <w:tcPr>
            <w:tcW w:w="2468" w:type="dxa"/>
            <w:vMerge/>
            <w:tcBorders>
              <w:top w:val="single" w:sz="8" w:space="0" w:color="auto"/>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Calama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tcBorders>
              <w:top w:val="single" w:sz="8" w:space="0" w:color="auto"/>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Taltal</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25"/>
        </w:trPr>
        <w:tc>
          <w:tcPr>
            <w:tcW w:w="2468" w:type="dxa"/>
            <w:vMerge/>
            <w:tcBorders>
              <w:top w:val="single" w:sz="8" w:space="0" w:color="auto"/>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Tocopilla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25"/>
        </w:trPr>
        <w:tc>
          <w:tcPr>
            <w:tcW w:w="2468" w:type="dxa"/>
            <w:vMerge w:val="restart"/>
            <w:tcBorders>
              <w:top w:val="single" w:sz="8" w:space="0" w:color="auto"/>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Atacama</w:t>
            </w:r>
          </w:p>
        </w:tc>
        <w:tc>
          <w:tcPr>
            <w:tcW w:w="1851"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Copiapó</w:t>
            </w:r>
          </w:p>
        </w:tc>
        <w:tc>
          <w:tcPr>
            <w:tcW w:w="1851"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25"/>
        </w:trPr>
        <w:tc>
          <w:tcPr>
            <w:tcW w:w="2468" w:type="dxa"/>
            <w:vMerge/>
            <w:tcBorders>
              <w:top w:val="single" w:sz="8" w:space="0" w:color="auto"/>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Vallenar</w:t>
            </w: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Coquimbo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Coquimbo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single" w:sz="8"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 Serena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Monte Patria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Ovalle</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Paiguano</w:t>
            </w:r>
            <w:proofErr w:type="spellEnd"/>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Valparaíso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Cabildo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Cartagena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Catemu</w:t>
            </w:r>
            <w:proofErr w:type="spellEnd"/>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Concón</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Isla de Pascua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Panquehue</w:t>
            </w:r>
            <w:proofErr w:type="spellEnd"/>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Putaendo</w:t>
            </w:r>
            <w:proofErr w:type="spellEnd"/>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Quillota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Quilpué</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Antonio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Esteban</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Felipe</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Santo Domingo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51"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Valparaíso</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r>
      <w:tr w:rsidR="000934A8" w:rsidRPr="000934A8" w:rsidTr="00ED0AF8">
        <w:trPr>
          <w:trHeight w:val="310"/>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Villa Alemana</w:t>
            </w:r>
          </w:p>
        </w:tc>
        <w:tc>
          <w:tcPr>
            <w:tcW w:w="1851"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51"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325"/>
        </w:trPr>
        <w:tc>
          <w:tcPr>
            <w:tcW w:w="246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Viña del Mar</w:t>
            </w:r>
          </w:p>
        </w:tc>
        <w:tc>
          <w:tcPr>
            <w:tcW w:w="1851"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51"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51"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r>
    </w:tbl>
    <w:p w:rsidR="00087CFD" w:rsidRPr="00E0187E" w:rsidRDefault="00087CFD" w:rsidP="00087CFD">
      <w:pPr>
        <w:ind w:firstLine="471"/>
        <w:rPr>
          <w:rFonts w:ascii="Verdana" w:hAnsi="Verdana"/>
          <w:sz w:val="18"/>
          <w:szCs w:val="18"/>
          <w:lang w:val="es-ES_tradnl" w:eastAsia="zh-TW"/>
        </w:rPr>
      </w:pPr>
    </w:p>
    <w:p w:rsidR="00FE331C" w:rsidRDefault="00FE331C" w:rsidP="00FE331C">
      <w:pPr>
        <w:pStyle w:val="Ttulo1"/>
        <w:rPr>
          <w:rFonts w:ascii="Verdana" w:hAnsi="Verdana"/>
          <w:noProof/>
          <w:sz w:val="28"/>
          <w:szCs w:val="28"/>
          <w:lang w:val="es-ES_tradnl"/>
        </w:rPr>
      </w:pPr>
    </w:p>
    <w:p w:rsidR="007F7871" w:rsidRPr="007F7871" w:rsidRDefault="007F7871" w:rsidP="007F7871">
      <w:pPr>
        <w:rPr>
          <w:lang w:val="es-ES_tradnl" w:eastAsia="zh-TW"/>
        </w:rPr>
      </w:pPr>
    </w:p>
    <w:p w:rsidR="009D1419" w:rsidRDefault="00087CFD" w:rsidP="000934A8">
      <w:pPr>
        <w:ind w:firstLine="471"/>
        <w:rPr>
          <w:rFonts w:ascii="Verdana" w:hAnsi="Verdana"/>
          <w:b/>
          <w:lang w:val="es-ES_tradnl" w:eastAsia="zh-TW"/>
        </w:rPr>
      </w:pPr>
      <w:r w:rsidRPr="000934A8">
        <w:rPr>
          <w:rFonts w:ascii="Verdana" w:hAnsi="Verdana"/>
          <w:b/>
          <w:lang w:val="es-ES_tradnl" w:eastAsia="zh-TW"/>
        </w:rPr>
        <w:lastRenderedPageBreak/>
        <w:t>Zona Centro.</w:t>
      </w:r>
    </w:p>
    <w:tbl>
      <w:tblPr>
        <w:tblW w:w="9952" w:type="dxa"/>
        <w:tblInd w:w="55" w:type="dxa"/>
        <w:tblCellMar>
          <w:left w:w="70" w:type="dxa"/>
          <w:right w:w="70" w:type="dxa"/>
        </w:tblCellMar>
        <w:tblLook w:val="04A0" w:firstRow="1" w:lastRow="0" w:firstColumn="1" w:lastColumn="0" w:noHBand="0" w:noVBand="1"/>
      </w:tblPr>
      <w:tblGrid>
        <w:gridCol w:w="2648"/>
        <w:gridCol w:w="1826"/>
        <w:gridCol w:w="1826"/>
        <w:gridCol w:w="1826"/>
        <w:gridCol w:w="1826"/>
      </w:tblGrid>
      <w:tr w:rsidR="000934A8" w:rsidRPr="000934A8" w:rsidTr="000934A8">
        <w:trPr>
          <w:trHeight w:val="340"/>
        </w:trPr>
        <w:tc>
          <w:tcPr>
            <w:tcW w:w="2648" w:type="dxa"/>
            <w:tcBorders>
              <w:top w:val="single" w:sz="8" w:space="0" w:color="auto"/>
              <w:left w:val="single" w:sz="8" w:space="0" w:color="auto"/>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color w:val="000000"/>
                <w:sz w:val="16"/>
                <w:szCs w:val="16"/>
                <w:lang w:eastAsia="es-CL"/>
              </w:rPr>
            </w:pPr>
            <w:r w:rsidRPr="000934A8">
              <w:rPr>
                <w:rFonts w:ascii="Verdana" w:eastAsia="Times New Roman" w:hAnsi="Verdana" w:cs="Calibri"/>
                <w:b/>
                <w:color w:val="000000"/>
                <w:sz w:val="16"/>
                <w:szCs w:val="16"/>
                <w:lang w:eastAsia="es-CL"/>
              </w:rPr>
              <w:t>Región</w:t>
            </w:r>
          </w:p>
        </w:tc>
        <w:tc>
          <w:tcPr>
            <w:tcW w:w="1826"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Comuna</w:t>
            </w:r>
          </w:p>
        </w:tc>
        <w:tc>
          <w:tcPr>
            <w:tcW w:w="1826"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Postulados</w:t>
            </w:r>
          </w:p>
        </w:tc>
        <w:tc>
          <w:tcPr>
            <w:tcW w:w="1826" w:type="dxa"/>
            <w:tcBorders>
              <w:top w:val="single" w:sz="8" w:space="0" w:color="auto"/>
              <w:left w:val="nil"/>
              <w:bottom w:val="single" w:sz="8" w:space="0" w:color="auto"/>
              <w:right w:val="nil"/>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Admisibles</w:t>
            </w:r>
          </w:p>
        </w:tc>
        <w:tc>
          <w:tcPr>
            <w:tcW w:w="1826" w:type="dxa"/>
            <w:tcBorders>
              <w:top w:val="single" w:sz="8" w:space="0" w:color="auto"/>
              <w:left w:val="single" w:sz="4" w:space="0" w:color="auto"/>
              <w:bottom w:val="single" w:sz="8" w:space="0" w:color="auto"/>
              <w:right w:val="single" w:sz="8"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Adjudicados</w:t>
            </w:r>
          </w:p>
        </w:tc>
      </w:tr>
      <w:tr w:rsidR="000934A8" w:rsidRPr="000934A8" w:rsidTr="000934A8">
        <w:trPr>
          <w:trHeight w:val="257"/>
        </w:trPr>
        <w:tc>
          <w:tcPr>
            <w:tcW w:w="264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Metropolitana de Santiago</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Cerrillos</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4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Huechuraba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64"/>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Independencia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ED0AF8">
        <w:trPr>
          <w:trHeight w:val="140"/>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 Cisterna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ED0AF8">
        <w:trPr>
          <w:trHeight w:val="244"/>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 Florida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r>
      <w:tr w:rsidR="000934A8" w:rsidRPr="000934A8" w:rsidTr="00ED0AF8">
        <w:trPr>
          <w:trHeight w:val="134"/>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 xml:space="preserve">La </w:t>
            </w:r>
            <w:proofErr w:type="spellStart"/>
            <w:r w:rsidRPr="000934A8">
              <w:rPr>
                <w:rFonts w:ascii="Verdana" w:eastAsia="Times New Roman" w:hAnsi="Verdana" w:cs="Calibri"/>
                <w:color w:val="000000"/>
                <w:sz w:val="16"/>
                <w:szCs w:val="16"/>
                <w:lang w:eastAsia="es-CL"/>
              </w:rPr>
              <w:t>Pintana</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91"/>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Macul</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3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Maipú</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142"/>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Melipilla</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68"/>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Ñuñoa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44"/>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Providencia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18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Quilicura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46"/>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Quinta Normal</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258"/>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Recoleta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8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Miguel</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161"/>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Santiago</w:t>
            </w: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13</w:t>
            </w:r>
          </w:p>
        </w:tc>
        <w:tc>
          <w:tcPr>
            <w:tcW w:w="1826"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10</w:t>
            </w:r>
          </w:p>
        </w:tc>
        <w:tc>
          <w:tcPr>
            <w:tcW w:w="1826"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r>
      <w:tr w:rsidR="000934A8" w:rsidRPr="000934A8" w:rsidTr="000934A8">
        <w:trPr>
          <w:trHeight w:val="243"/>
        </w:trPr>
        <w:tc>
          <w:tcPr>
            <w:tcW w:w="264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Libertador Bernardo O</w:t>
            </w:r>
            <w:r w:rsidR="00ED0AF8">
              <w:rPr>
                <w:rFonts w:ascii="Verdana" w:eastAsia="Times New Roman" w:hAnsi="Verdana" w:cs="Calibri"/>
                <w:color w:val="000000"/>
                <w:sz w:val="16"/>
                <w:szCs w:val="16"/>
                <w:lang w:eastAsia="es-CL"/>
              </w:rPr>
              <w:t>’</w:t>
            </w:r>
            <w:r w:rsidRPr="000934A8">
              <w:rPr>
                <w:rFonts w:ascii="Verdana" w:eastAsia="Times New Roman" w:hAnsi="Verdana" w:cs="Calibri"/>
                <w:color w:val="000000"/>
                <w:sz w:val="16"/>
                <w:szCs w:val="16"/>
                <w:lang w:eastAsia="es-CL"/>
              </w:rPr>
              <w:t>Higgins</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Coltauco</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0934A8">
        <w:trPr>
          <w:trHeight w:val="18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 Estrella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59"/>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Litueche</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209"/>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Machalí</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258"/>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Paredones</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292"/>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Pichilemu</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129"/>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Rancagua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178"/>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Rengo</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28"/>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Fernando</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7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Vicente</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66"/>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Peumo</w:t>
            </w: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91"/>
        </w:trPr>
        <w:tc>
          <w:tcPr>
            <w:tcW w:w="264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Maule</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Curicó</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826"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8"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41"/>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Linares</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290"/>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Molina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112"/>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Pencahue</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61"/>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Sagrada Familia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826"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226"/>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Talca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275"/>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Vichuquén</w:t>
            </w:r>
            <w:proofErr w:type="spellEnd"/>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165"/>
        </w:trPr>
        <w:tc>
          <w:tcPr>
            <w:tcW w:w="2648"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ED0AF8" w:rsidP="000934A8">
            <w:pPr>
              <w:spacing w:after="0" w:line="240" w:lineRule="auto"/>
              <w:jc w:val="center"/>
              <w:rPr>
                <w:rFonts w:ascii="Verdana" w:eastAsia="Times New Roman" w:hAnsi="Verdana" w:cs="Calibri"/>
                <w:color w:val="000000"/>
                <w:sz w:val="16"/>
                <w:szCs w:val="16"/>
                <w:lang w:eastAsia="es-CL"/>
              </w:rPr>
            </w:pPr>
            <w:r>
              <w:rPr>
                <w:rFonts w:ascii="Verdana" w:eastAsia="Times New Roman" w:hAnsi="Verdana" w:cs="Calibri"/>
                <w:color w:val="000000"/>
                <w:sz w:val="16"/>
                <w:szCs w:val="16"/>
                <w:lang w:eastAsia="es-CL"/>
              </w:rPr>
              <w:t>Biobí</w:t>
            </w:r>
            <w:r w:rsidR="000934A8" w:rsidRPr="000934A8">
              <w:rPr>
                <w:rFonts w:ascii="Verdana" w:eastAsia="Times New Roman" w:hAnsi="Verdana" w:cs="Calibri"/>
                <w:color w:val="000000"/>
                <w:sz w:val="16"/>
                <w:szCs w:val="16"/>
                <w:lang w:eastAsia="es-CL"/>
              </w:rPr>
              <w:t>o</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Chiguayante</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8" w:space="0" w:color="auto"/>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8"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27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Chillán</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26" w:type="dxa"/>
            <w:tcBorders>
              <w:top w:val="single" w:sz="4"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5</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237"/>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Concepción</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Contulmo</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Coronel</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Curanilahue</w:t>
            </w:r>
            <w:proofErr w:type="spellEnd"/>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Florida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Hualqui</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Lota</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23"/>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Carlos</w:t>
            </w:r>
          </w:p>
        </w:tc>
        <w:tc>
          <w:tcPr>
            <w:tcW w:w="1826"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826"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40"/>
        </w:trPr>
        <w:tc>
          <w:tcPr>
            <w:tcW w:w="2648"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Tirúa</w:t>
            </w:r>
            <w:proofErr w:type="spellEnd"/>
          </w:p>
        </w:tc>
        <w:tc>
          <w:tcPr>
            <w:tcW w:w="1826"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826"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bl>
    <w:p w:rsidR="000934A8" w:rsidRPr="000934A8" w:rsidRDefault="000934A8" w:rsidP="00ED0AF8">
      <w:pPr>
        <w:ind w:firstLine="708"/>
        <w:rPr>
          <w:rFonts w:ascii="Verdana" w:hAnsi="Verdana"/>
          <w:b/>
          <w:lang w:val="es-ES_tradnl" w:eastAsia="zh-TW"/>
        </w:rPr>
      </w:pPr>
      <w:r>
        <w:rPr>
          <w:rFonts w:ascii="Verdana" w:hAnsi="Verdana"/>
          <w:b/>
          <w:lang w:val="es-ES_tradnl" w:eastAsia="zh-TW"/>
        </w:rPr>
        <w:lastRenderedPageBreak/>
        <w:t>Zona Sur.</w:t>
      </w:r>
    </w:p>
    <w:tbl>
      <w:tblPr>
        <w:tblW w:w="10057" w:type="dxa"/>
        <w:tblInd w:w="55" w:type="dxa"/>
        <w:tblCellMar>
          <w:left w:w="70" w:type="dxa"/>
          <w:right w:w="70" w:type="dxa"/>
        </w:tblCellMar>
        <w:tblLook w:val="04A0" w:firstRow="1" w:lastRow="0" w:firstColumn="1" w:lastColumn="0" w:noHBand="0" w:noVBand="1"/>
      </w:tblPr>
      <w:tblGrid>
        <w:gridCol w:w="3022"/>
        <w:gridCol w:w="2220"/>
        <w:gridCol w:w="1605"/>
        <w:gridCol w:w="1605"/>
        <w:gridCol w:w="1605"/>
      </w:tblGrid>
      <w:tr w:rsidR="000934A8" w:rsidRPr="000934A8" w:rsidTr="000934A8">
        <w:trPr>
          <w:trHeight w:val="316"/>
        </w:trPr>
        <w:tc>
          <w:tcPr>
            <w:tcW w:w="3022" w:type="dxa"/>
            <w:tcBorders>
              <w:top w:val="single" w:sz="8" w:space="0" w:color="auto"/>
              <w:left w:val="single" w:sz="8" w:space="0" w:color="auto"/>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Región</w:t>
            </w:r>
          </w:p>
        </w:tc>
        <w:tc>
          <w:tcPr>
            <w:tcW w:w="2220"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Comuna</w:t>
            </w:r>
          </w:p>
        </w:tc>
        <w:tc>
          <w:tcPr>
            <w:tcW w:w="1605" w:type="dxa"/>
            <w:tcBorders>
              <w:top w:val="single" w:sz="8" w:space="0" w:color="auto"/>
              <w:left w:val="nil"/>
              <w:bottom w:val="single" w:sz="8" w:space="0" w:color="auto"/>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Postulados</w:t>
            </w:r>
          </w:p>
        </w:tc>
        <w:tc>
          <w:tcPr>
            <w:tcW w:w="1605" w:type="dxa"/>
            <w:tcBorders>
              <w:top w:val="single" w:sz="8" w:space="0" w:color="auto"/>
              <w:left w:val="nil"/>
              <w:bottom w:val="single" w:sz="8" w:space="0" w:color="auto"/>
              <w:right w:val="nil"/>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Admisibles</w:t>
            </w:r>
          </w:p>
        </w:tc>
        <w:tc>
          <w:tcPr>
            <w:tcW w:w="1605" w:type="dxa"/>
            <w:tcBorders>
              <w:top w:val="single" w:sz="8" w:space="0" w:color="auto"/>
              <w:left w:val="single" w:sz="4" w:space="0" w:color="auto"/>
              <w:bottom w:val="single" w:sz="8" w:space="0" w:color="auto"/>
              <w:right w:val="single" w:sz="8"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b/>
                <w:bCs/>
                <w:color w:val="000000"/>
                <w:sz w:val="16"/>
                <w:szCs w:val="16"/>
                <w:lang w:eastAsia="es-CL"/>
              </w:rPr>
            </w:pPr>
            <w:r w:rsidRPr="000934A8">
              <w:rPr>
                <w:rFonts w:ascii="Verdana" w:eastAsia="Times New Roman" w:hAnsi="Verdana" w:cs="Calibri"/>
                <w:b/>
                <w:bCs/>
                <w:color w:val="000000"/>
                <w:sz w:val="16"/>
                <w:szCs w:val="16"/>
                <w:lang w:eastAsia="es-CL"/>
              </w:rPr>
              <w:t>Adjudicados</w:t>
            </w:r>
          </w:p>
        </w:tc>
      </w:tr>
      <w:tr w:rsidR="000934A8" w:rsidRPr="000934A8" w:rsidTr="000934A8">
        <w:trPr>
          <w:trHeight w:val="300"/>
        </w:trPr>
        <w:tc>
          <w:tcPr>
            <w:tcW w:w="3022"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Araucanía</w:t>
            </w: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Carahue</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Melipeuco</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Nueva Imperial</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Padre Las Casas</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605"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Pitrufquén</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Saavedra</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605"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Temuco</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605"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nil"/>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Villarrica</w:t>
            </w:r>
          </w:p>
        </w:tc>
        <w:tc>
          <w:tcPr>
            <w:tcW w:w="1605" w:type="dxa"/>
            <w:tcBorders>
              <w:top w:val="nil"/>
              <w:left w:val="nil"/>
              <w:bottom w:val="nil"/>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4" w:space="0" w:color="auto"/>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16"/>
        </w:trPr>
        <w:tc>
          <w:tcPr>
            <w:tcW w:w="3022"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Los Ríos</w:t>
            </w:r>
          </w:p>
        </w:tc>
        <w:tc>
          <w:tcPr>
            <w:tcW w:w="2220"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 Unión</w:t>
            </w:r>
          </w:p>
        </w:tc>
        <w:tc>
          <w:tcPr>
            <w:tcW w:w="1605"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605"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Lanco</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Paillaco</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00"/>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Panguipulli</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nil"/>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Valdivia</w:t>
            </w:r>
          </w:p>
        </w:tc>
        <w:tc>
          <w:tcPr>
            <w:tcW w:w="1605" w:type="dxa"/>
            <w:tcBorders>
              <w:top w:val="nil"/>
              <w:left w:val="nil"/>
              <w:bottom w:val="nil"/>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605" w:type="dxa"/>
            <w:tcBorders>
              <w:top w:val="nil"/>
              <w:left w:val="nil"/>
              <w:bottom w:val="nil"/>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605"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0934A8">
        <w:trPr>
          <w:trHeight w:val="316"/>
        </w:trPr>
        <w:tc>
          <w:tcPr>
            <w:tcW w:w="3022" w:type="dxa"/>
            <w:vMerge w:val="restart"/>
            <w:tcBorders>
              <w:top w:val="nil"/>
              <w:left w:val="single" w:sz="8" w:space="0" w:color="auto"/>
              <w:bottom w:val="nil"/>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Los Lagos</w:t>
            </w:r>
          </w:p>
        </w:tc>
        <w:tc>
          <w:tcPr>
            <w:tcW w:w="2220"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Calbuco</w:t>
            </w:r>
            <w:proofErr w:type="spellEnd"/>
          </w:p>
        </w:tc>
        <w:tc>
          <w:tcPr>
            <w:tcW w:w="1605"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8"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Castro</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316"/>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Frutillar</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Hualaihué</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3</w:t>
            </w:r>
          </w:p>
        </w:tc>
        <w:tc>
          <w:tcPr>
            <w:tcW w:w="1605" w:type="dxa"/>
            <w:tcBorders>
              <w:top w:val="single" w:sz="4" w:space="0" w:color="auto"/>
              <w:left w:val="single" w:sz="4" w:space="0" w:color="auto"/>
              <w:bottom w:val="nil"/>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Los Muermos</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4"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Osorno</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4</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Puerto Montt</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Puerto Varas</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00"/>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Quinchao</w:t>
            </w:r>
            <w:proofErr w:type="spellEnd"/>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Inad</w:t>
            </w:r>
            <w:proofErr w:type="spellEnd"/>
          </w:p>
        </w:tc>
      </w:tr>
      <w:tr w:rsidR="000934A8" w:rsidRPr="000934A8" w:rsidTr="000934A8">
        <w:trPr>
          <w:trHeight w:val="316"/>
        </w:trPr>
        <w:tc>
          <w:tcPr>
            <w:tcW w:w="3022" w:type="dxa"/>
            <w:vMerge/>
            <w:tcBorders>
              <w:top w:val="nil"/>
              <w:left w:val="single" w:sz="8" w:space="0" w:color="auto"/>
              <w:bottom w:val="nil"/>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San Juan de la Costa</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0</w:t>
            </w:r>
          </w:p>
        </w:tc>
      </w:tr>
      <w:tr w:rsidR="000934A8" w:rsidRPr="000934A8" w:rsidTr="000934A8">
        <w:trPr>
          <w:trHeight w:val="300"/>
        </w:trPr>
        <w:tc>
          <w:tcPr>
            <w:tcW w:w="3022" w:type="dxa"/>
            <w:vMerge w:val="restart"/>
            <w:tcBorders>
              <w:top w:val="single" w:sz="8" w:space="0" w:color="auto"/>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Aysén del General Carlos Ibáñez del Campo</w:t>
            </w:r>
          </w:p>
        </w:tc>
        <w:tc>
          <w:tcPr>
            <w:tcW w:w="2220"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roofErr w:type="spellStart"/>
            <w:r w:rsidRPr="000934A8">
              <w:rPr>
                <w:rFonts w:ascii="Verdana" w:eastAsia="Times New Roman" w:hAnsi="Verdana" w:cs="Calibri"/>
                <w:color w:val="000000"/>
                <w:sz w:val="16"/>
                <w:szCs w:val="16"/>
                <w:lang w:eastAsia="es-CL"/>
              </w:rPr>
              <w:t>Guaitecas</w:t>
            </w:r>
            <w:proofErr w:type="spellEnd"/>
          </w:p>
        </w:tc>
        <w:tc>
          <w:tcPr>
            <w:tcW w:w="1605" w:type="dxa"/>
            <w:tcBorders>
              <w:top w:val="single" w:sz="8" w:space="0" w:color="auto"/>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8" w:space="0" w:color="auto"/>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single" w:sz="8" w:space="0" w:color="auto"/>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16"/>
        </w:trPr>
        <w:tc>
          <w:tcPr>
            <w:tcW w:w="3022" w:type="dxa"/>
            <w:vMerge/>
            <w:tcBorders>
              <w:top w:val="single" w:sz="8" w:space="0" w:color="auto"/>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Lago Verde</w:t>
            </w:r>
          </w:p>
        </w:tc>
        <w:tc>
          <w:tcPr>
            <w:tcW w:w="1605"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00"/>
        </w:trPr>
        <w:tc>
          <w:tcPr>
            <w:tcW w:w="3022" w:type="dxa"/>
            <w:vMerge w:val="restart"/>
            <w:tcBorders>
              <w:top w:val="nil"/>
              <w:left w:val="single" w:sz="8" w:space="0" w:color="auto"/>
              <w:bottom w:val="single" w:sz="8" w:space="0" w:color="000000"/>
              <w:right w:val="single" w:sz="4" w:space="0" w:color="auto"/>
            </w:tcBorders>
            <w:shd w:val="clear" w:color="000000" w:fill="C4D79B"/>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Magallanes y Antártica Chilena</w:t>
            </w:r>
          </w:p>
        </w:tc>
        <w:tc>
          <w:tcPr>
            <w:tcW w:w="2220"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Natales</w:t>
            </w:r>
          </w:p>
        </w:tc>
        <w:tc>
          <w:tcPr>
            <w:tcW w:w="1605" w:type="dxa"/>
            <w:tcBorders>
              <w:top w:val="nil"/>
              <w:left w:val="nil"/>
              <w:bottom w:val="single" w:sz="4"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c>
          <w:tcPr>
            <w:tcW w:w="1605" w:type="dxa"/>
            <w:tcBorders>
              <w:top w:val="nil"/>
              <w:left w:val="nil"/>
              <w:bottom w:val="single" w:sz="4"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c>
          <w:tcPr>
            <w:tcW w:w="1605" w:type="dxa"/>
            <w:tcBorders>
              <w:top w:val="nil"/>
              <w:left w:val="single" w:sz="4" w:space="0" w:color="auto"/>
              <w:bottom w:val="single" w:sz="4"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1</w:t>
            </w:r>
          </w:p>
        </w:tc>
      </w:tr>
      <w:tr w:rsidR="000934A8" w:rsidRPr="000934A8" w:rsidTr="000934A8">
        <w:trPr>
          <w:trHeight w:val="316"/>
        </w:trPr>
        <w:tc>
          <w:tcPr>
            <w:tcW w:w="3022" w:type="dxa"/>
            <w:vMerge/>
            <w:tcBorders>
              <w:top w:val="nil"/>
              <w:left w:val="single" w:sz="8" w:space="0" w:color="auto"/>
              <w:bottom w:val="single" w:sz="8" w:space="0" w:color="000000"/>
              <w:right w:val="single" w:sz="4" w:space="0" w:color="auto"/>
            </w:tcBorders>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p>
        </w:tc>
        <w:tc>
          <w:tcPr>
            <w:tcW w:w="2220"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Punta Arenas</w:t>
            </w:r>
          </w:p>
        </w:tc>
        <w:tc>
          <w:tcPr>
            <w:tcW w:w="1605" w:type="dxa"/>
            <w:tcBorders>
              <w:top w:val="nil"/>
              <w:left w:val="nil"/>
              <w:bottom w:val="single" w:sz="8" w:space="0" w:color="auto"/>
              <w:right w:val="single" w:sz="4" w:space="0" w:color="auto"/>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605" w:type="dxa"/>
            <w:tcBorders>
              <w:top w:val="nil"/>
              <w:left w:val="nil"/>
              <w:bottom w:val="single" w:sz="8" w:space="0" w:color="auto"/>
              <w:right w:val="nil"/>
            </w:tcBorders>
            <w:shd w:val="clear" w:color="000000" w:fill="EBF1DE"/>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6</w:t>
            </w:r>
          </w:p>
        </w:tc>
        <w:tc>
          <w:tcPr>
            <w:tcW w:w="1605" w:type="dxa"/>
            <w:tcBorders>
              <w:top w:val="nil"/>
              <w:left w:val="single" w:sz="4" w:space="0" w:color="auto"/>
              <w:bottom w:val="single" w:sz="8" w:space="0" w:color="auto"/>
              <w:right w:val="single" w:sz="8" w:space="0" w:color="auto"/>
            </w:tcBorders>
            <w:shd w:val="clear" w:color="000000" w:fill="EBF1DE"/>
            <w:noWrap/>
            <w:vAlign w:val="center"/>
            <w:hideMark/>
          </w:tcPr>
          <w:p w:rsidR="000934A8" w:rsidRPr="000934A8" w:rsidRDefault="000934A8" w:rsidP="000934A8">
            <w:pPr>
              <w:spacing w:after="0" w:line="240" w:lineRule="auto"/>
              <w:jc w:val="center"/>
              <w:rPr>
                <w:rFonts w:ascii="Verdana" w:eastAsia="Times New Roman" w:hAnsi="Verdana" w:cs="Calibri"/>
                <w:color w:val="000000"/>
                <w:sz w:val="16"/>
                <w:szCs w:val="16"/>
                <w:lang w:eastAsia="es-CL"/>
              </w:rPr>
            </w:pPr>
            <w:r w:rsidRPr="000934A8">
              <w:rPr>
                <w:rFonts w:ascii="Verdana" w:eastAsia="Times New Roman" w:hAnsi="Verdana" w:cs="Calibri"/>
                <w:color w:val="000000"/>
                <w:sz w:val="16"/>
                <w:szCs w:val="16"/>
                <w:lang w:eastAsia="es-CL"/>
              </w:rPr>
              <w:t>2</w:t>
            </w:r>
          </w:p>
        </w:tc>
      </w:tr>
    </w:tbl>
    <w:p w:rsidR="00087CFD" w:rsidRPr="00087CFD" w:rsidRDefault="00087CFD" w:rsidP="009D1419">
      <w:pPr>
        <w:rPr>
          <w:b/>
          <w:lang w:val="es-ES_tradnl" w:eastAsia="zh-TW"/>
        </w:rPr>
      </w:pPr>
    </w:p>
    <w:p w:rsidR="009D1419" w:rsidRDefault="009D1419" w:rsidP="009D1419">
      <w:pPr>
        <w:rPr>
          <w:lang w:val="es-ES_tradnl" w:eastAsia="zh-TW"/>
        </w:rPr>
      </w:pPr>
    </w:p>
    <w:p w:rsidR="009D1419" w:rsidRDefault="009D1419" w:rsidP="009D1419">
      <w:pPr>
        <w:rPr>
          <w:lang w:val="es-ES_tradnl" w:eastAsia="zh-TW"/>
        </w:rPr>
      </w:pPr>
    </w:p>
    <w:p w:rsidR="009D1419" w:rsidRDefault="009D1419" w:rsidP="009D1419">
      <w:pPr>
        <w:rPr>
          <w:lang w:val="es-ES_tradnl" w:eastAsia="zh-TW"/>
        </w:rPr>
      </w:pPr>
    </w:p>
    <w:p w:rsidR="007F7871" w:rsidRDefault="007F7871" w:rsidP="00FE331C">
      <w:pPr>
        <w:pStyle w:val="Ttulo1"/>
        <w:rPr>
          <w:rFonts w:asciiTheme="minorHAnsi" w:hAnsiTheme="minorHAnsi"/>
          <w:color w:val="auto"/>
          <w:sz w:val="22"/>
          <w:szCs w:val="22"/>
          <w:lang w:val="es-ES_tradnl"/>
        </w:rPr>
      </w:pPr>
    </w:p>
    <w:p w:rsidR="000934A8" w:rsidRDefault="000934A8" w:rsidP="000934A8">
      <w:pPr>
        <w:rPr>
          <w:lang w:val="es-ES_tradnl" w:eastAsia="zh-TW"/>
        </w:rPr>
      </w:pPr>
    </w:p>
    <w:p w:rsidR="000934A8" w:rsidRPr="000934A8" w:rsidRDefault="000934A8" w:rsidP="000934A8">
      <w:pPr>
        <w:rPr>
          <w:lang w:val="es-ES_tradnl" w:eastAsia="zh-TW"/>
        </w:rPr>
      </w:pPr>
    </w:p>
    <w:p w:rsidR="00CA293C" w:rsidRDefault="00F76EA8" w:rsidP="009E0AEC">
      <w:pPr>
        <w:pStyle w:val="Ttulo1"/>
        <w:rPr>
          <w:rFonts w:ascii="Verdana" w:hAnsi="Verdana"/>
          <w:noProof/>
          <w:sz w:val="28"/>
          <w:szCs w:val="28"/>
          <w:lang w:val="es-ES_tradnl"/>
        </w:rPr>
      </w:pPr>
      <w:r>
        <w:rPr>
          <w:rFonts w:ascii="Verdana" w:hAnsi="Verdana"/>
          <w:noProof/>
          <w:sz w:val="28"/>
          <w:szCs w:val="28"/>
          <w:lang w:val="es-ES_tradnl"/>
        </w:rPr>
        <w:lastRenderedPageBreak/>
        <w:t>Observaciones</w:t>
      </w:r>
      <w:r w:rsidR="00CA293C">
        <w:rPr>
          <w:rFonts w:ascii="Verdana" w:hAnsi="Verdana"/>
          <w:noProof/>
          <w:sz w:val="28"/>
          <w:szCs w:val="28"/>
          <w:lang w:val="es-ES_tradnl"/>
        </w:rPr>
        <w:t>.</w:t>
      </w:r>
    </w:p>
    <w:p w:rsidR="006056EC" w:rsidRPr="006056EC" w:rsidRDefault="006056EC" w:rsidP="006056EC">
      <w:pPr>
        <w:rPr>
          <w:lang w:val="es-ES_tradnl" w:eastAsia="zh-TW"/>
        </w:rPr>
      </w:pPr>
    </w:p>
    <w:p w:rsidR="004803DC" w:rsidRPr="006056EC" w:rsidRDefault="006056EC" w:rsidP="006056EC">
      <w:pPr>
        <w:spacing w:line="360" w:lineRule="auto"/>
        <w:ind w:firstLine="360"/>
        <w:jc w:val="both"/>
        <w:rPr>
          <w:rFonts w:ascii="Verdana" w:hAnsi="Verdana"/>
          <w:sz w:val="18"/>
          <w:szCs w:val="18"/>
          <w:lang w:val="es-ES_tradnl" w:eastAsia="zh-TW"/>
        </w:rPr>
      </w:pPr>
      <w:r>
        <w:rPr>
          <w:rFonts w:ascii="Verdana" w:hAnsi="Verdana"/>
          <w:sz w:val="18"/>
          <w:szCs w:val="18"/>
          <w:lang w:val="es-ES_tradnl" w:eastAsia="zh-TW"/>
        </w:rPr>
        <w:t xml:space="preserve">A continuación se presentan algunas observaciones a modo de conclusión,  que tienen relación con los resultados expuesto en el presente reporte </w:t>
      </w:r>
      <w:r w:rsidR="00F76EA8">
        <w:rPr>
          <w:rFonts w:ascii="Verdana" w:hAnsi="Verdana"/>
          <w:sz w:val="18"/>
          <w:szCs w:val="18"/>
          <w:lang w:val="es-ES_tradnl" w:eastAsia="zh-TW"/>
        </w:rPr>
        <w:t>de la convocatoria FAE 2014:</w:t>
      </w:r>
    </w:p>
    <w:p w:rsidR="004803DC" w:rsidRDefault="004803DC" w:rsidP="004803DC">
      <w:pPr>
        <w:pStyle w:val="Prrafodelista"/>
        <w:spacing w:line="360" w:lineRule="auto"/>
        <w:ind w:left="831"/>
        <w:jc w:val="both"/>
        <w:rPr>
          <w:rFonts w:ascii="Verdana" w:hAnsi="Verdana"/>
          <w:sz w:val="18"/>
          <w:szCs w:val="18"/>
          <w:lang w:val="es-ES_tradnl" w:eastAsia="zh-TW"/>
        </w:rPr>
      </w:pPr>
    </w:p>
    <w:p w:rsidR="004F53FD" w:rsidRDefault="004803DC" w:rsidP="004803DC">
      <w:pPr>
        <w:pStyle w:val="Prrafodelista"/>
        <w:numPr>
          <w:ilvl w:val="0"/>
          <w:numId w:val="5"/>
        </w:numPr>
        <w:spacing w:line="360" w:lineRule="auto"/>
        <w:jc w:val="both"/>
        <w:rPr>
          <w:rFonts w:ascii="Verdana" w:hAnsi="Verdana"/>
          <w:sz w:val="18"/>
          <w:szCs w:val="18"/>
          <w:lang w:val="es-ES_tradnl" w:eastAsia="zh-TW"/>
        </w:rPr>
      </w:pPr>
      <w:r w:rsidRPr="004803DC">
        <w:rPr>
          <w:rFonts w:ascii="Verdana" w:hAnsi="Verdana"/>
          <w:sz w:val="18"/>
          <w:szCs w:val="18"/>
          <w:lang w:val="es-ES_tradnl" w:eastAsia="zh-TW"/>
        </w:rPr>
        <w:t xml:space="preserve"> </w:t>
      </w:r>
      <w:r>
        <w:rPr>
          <w:rFonts w:ascii="Verdana" w:hAnsi="Verdana"/>
          <w:sz w:val="18"/>
          <w:szCs w:val="18"/>
          <w:lang w:val="es-ES_tradnl" w:eastAsia="zh-TW"/>
        </w:rPr>
        <w:t xml:space="preserve">En cuanto a las líneas de postulación, señalar que la línea 1 de ámbito formal, presenta 117 proyectos admisibles lo que representa el 71.7% del total de postulados admisibles (163), a diferencia de la línea 2 con solo 46 proyectos postulados, lo </w:t>
      </w:r>
      <w:r w:rsidR="006056EC">
        <w:rPr>
          <w:rFonts w:ascii="Verdana" w:hAnsi="Verdana"/>
          <w:sz w:val="18"/>
          <w:szCs w:val="18"/>
          <w:lang w:val="es-ES_tradnl" w:eastAsia="zh-TW"/>
        </w:rPr>
        <w:t>que evidencia las necesidades d</w:t>
      </w:r>
      <w:r>
        <w:rPr>
          <w:rFonts w:ascii="Verdana" w:hAnsi="Verdana"/>
          <w:sz w:val="18"/>
          <w:szCs w:val="18"/>
          <w:lang w:val="es-ES_tradnl" w:eastAsia="zh-TW"/>
        </w:rPr>
        <w:t>e las in</w:t>
      </w:r>
      <w:r w:rsidR="006056EC">
        <w:rPr>
          <w:rFonts w:ascii="Verdana" w:hAnsi="Verdana"/>
          <w:sz w:val="18"/>
          <w:szCs w:val="18"/>
          <w:lang w:val="es-ES_tradnl" w:eastAsia="zh-TW"/>
        </w:rPr>
        <w:t>stituciones educativas</w:t>
      </w:r>
      <w:r>
        <w:rPr>
          <w:rFonts w:ascii="Verdana" w:hAnsi="Verdana"/>
          <w:sz w:val="18"/>
          <w:szCs w:val="18"/>
          <w:lang w:val="es-ES_tradnl" w:eastAsia="zh-TW"/>
        </w:rPr>
        <w:t>, en particular la línea 1.b, la cual adjudicó 31 proyectos y todos ellos correspondientes a la modalidad de “Equipamiento y material de enseñanza”.</w:t>
      </w:r>
    </w:p>
    <w:p w:rsidR="00ED0AF8" w:rsidRPr="004803DC" w:rsidRDefault="00ED0AF8" w:rsidP="00ED0AF8">
      <w:pPr>
        <w:pStyle w:val="Prrafodelista"/>
        <w:spacing w:line="360" w:lineRule="auto"/>
        <w:ind w:left="831"/>
        <w:jc w:val="both"/>
        <w:rPr>
          <w:rFonts w:ascii="Verdana" w:hAnsi="Verdana"/>
          <w:sz w:val="18"/>
          <w:szCs w:val="18"/>
          <w:lang w:val="es-ES_tradnl" w:eastAsia="zh-TW"/>
        </w:rPr>
      </w:pPr>
    </w:p>
    <w:p w:rsidR="00CA293C" w:rsidRDefault="004F53FD" w:rsidP="004803DC">
      <w:pPr>
        <w:pStyle w:val="Prrafodelista"/>
        <w:numPr>
          <w:ilvl w:val="0"/>
          <w:numId w:val="5"/>
        </w:numPr>
        <w:spacing w:line="360" w:lineRule="auto"/>
        <w:jc w:val="both"/>
        <w:rPr>
          <w:rFonts w:ascii="Verdana" w:hAnsi="Verdana"/>
          <w:sz w:val="18"/>
          <w:szCs w:val="18"/>
          <w:lang w:val="es-ES_tradnl" w:eastAsia="zh-TW"/>
        </w:rPr>
      </w:pPr>
      <w:r w:rsidRPr="004803DC">
        <w:rPr>
          <w:rFonts w:ascii="Verdana" w:hAnsi="Verdana"/>
          <w:sz w:val="18"/>
          <w:szCs w:val="18"/>
          <w:lang w:val="es-ES_tradnl" w:eastAsia="zh-TW"/>
        </w:rPr>
        <w:t xml:space="preserve">La mayor demanda de dicho Fondo se aloja en la modalidad de “Equipamiento y material de Enseñanza” con 42 proyectos adjudicados correspondientes  </w:t>
      </w:r>
      <w:r w:rsidR="00C11D09" w:rsidRPr="004803DC">
        <w:rPr>
          <w:rFonts w:ascii="Verdana" w:hAnsi="Verdana"/>
          <w:sz w:val="18"/>
          <w:szCs w:val="18"/>
          <w:lang w:val="es-ES_tradnl" w:eastAsia="zh-TW"/>
        </w:rPr>
        <w:t>al 68,8% del total adjudicados y por un monto cercano a lo</w:t>
      </w:r>
      <w:r w:rsidR="003F41F7">
        <w:rPr>
          <w:rFonts w:ascii="Verdana" w:hAnsi="Verdana"/>
          <w:sz w:val="18"/>
          <w:szCs w:val="18"/>
          <w:lang w:val="es-ES_tradnl" w:eastAsia="zh-TW"/>
        </w:rPr>
        <w:t xml:space="preserve">s 350.000.000 millones, de un total de poco más de 500.000.000 millones asignados a la convocatoria. </w:t>
      </w:r>
    </w:p>
    <w:p w:rsidR="00ED0AF8" w:rsidRPr="004803DC" w:rsidRDefault="00ED0AF8" w:rsidP="00ED0AF8">
      <w:pPr>
        <w:pStyle w:val="Prrafodelista"/>
        <w:spacing w:line="360" w:lineRule="auto"/>
        <w:ind w:left="831"/>
        <w:jc w:val="both"/>
        <w:rPr>
          <w:rFonts w:ascii="Verdana" w:hAnsi="Verdana"/>
          <w:sz w:val="18"/>
          <w:szCs w:val="18"/>
          <w:lang w:val="es-ES_tradnl" w:eastAsia="zh-TW"/>
        </w:rPr>
      </w:pPr>
    </w:p>
    <w:p w:rsidR="009E0AEC" w:rsidRDefault="00C11D09" w:rsidP="009E0AEC">
      <w:pPr>
        <w:pStyle w:val="Prrafodelista"/>
        <w:numPr>
          <w:ilvl w:val="0"/>
          <w:numId w:val="5"/>
        </w:numPr>
        <w:spacing w:line="360" w:lineRule="auto"/>
        <w:jc w:val="both"/>
        <w:rPr>
          <w:rFonts w:ascii="Verdana" w:hAnsi="Verdana"/>
          <w:sz w:val="18"/>
          <w:szCs w:val="18"/>
          <w:lang w:val="es-ES_tradnl" w:eastAsia="zh-TW"/>
        </w:rPr>
      </w:pPr>
      <w:r w:rsidRPr="004803DC">
        <w:rPr>
          <w:rFonts w:ascii="Verdana" w:hAnsi="Verdana"/>
          <w:sz w:val="18"/>
          <w:szCs w:val="18"/>
          <w:lang w:val="es-ES_tradnl" w:eastAsia="zh-TW"/>
        </w:rPr>
        <w:t xml:space="preserve">En cuanto a la distribución regional de los proyectos seleccionados, observamos </w:t>
      </w:r>
      <w:r w:rsidR="004803DC">
        <w:rPr>
          <w:rFonts w:ascii="Verdana" w:hAnsi="Verdana"/>
          <w:sz w:val="18"/>
          <w:szCs w:val="18"/>
          <w:lang w:val="es-ES_tradnl" w:eastAsia="zh-TW"/>
        </w:rPr>
        <w:t xml:space="preserve">que </w:t>
      </w:r>
      <w:r w:rsidRPr="004803DC">
        <w:rPr>
          <w:rFonts w:ascii="Verdana" w:hAnsi="Verdana"/>
          <w:sz w:val="18"/>
          <w:szCs w:val="18"/>
          <w:lang w:val="es-ES_tradnl" w:eastAsia="zh-TW"/>
        </w:rPr>
        <w:t>el 50% de los proyectos adjudicados se concentran en las regiones de Biobío, Valparaíso Y Metropolitana. Muy por el contrario, en dicha convocatoria no tuvimos participación de la Región de Tarapacá</w:t>
      </w:r>
      <w:r w:rsidR="004803DC">
        <w:rPr>
          <w:rFonts w:ascii="Verdana" w:hAnsi="Verdana"/>
          <w:sz w:val="18"/>
          <w:szCs w:val="18"/>
          <w:lang w:val="es-ES_tradnl" w:eastAsia="zh-TW"/>
        </w:rPr>
        <w:t>,</w:t>
      </w:r>
      <w:r w:rsidR="004803DC" w:rsidRPr="004803DC">
        <w:rPr>
          <w:rFonts w:ascii="Verdana" w:hAnsi="Verdana"/>
          <w:sz w:val="18"/>
          <w:szCs w:val="18"/>
          <w:lang w:val="es-ES_tradnl" w:eastAsia="zh-TW"/>
        </w:rPr>
        <w:t xml:space="preserve"> y Atacama</w:t>
      </w:r>
      <w:r w:rsidR="004803DC">
        <w:rPr>
          <w:rFonts w:ascii="Verdana" w:hAnsi="Verdana"/>
          <w:sz w:val="18"/>
          <w:szCs w:val="18"/>
          <w:lang w:val="es-ES_tradnl" w:eastAsia="zh-TW"/>
        </w:rPr>
        <w:t xml:space="preserve"> no presenta adjudicación en</w:t>
      </w:r>
      <w:r w:rsidR="004803DC" w:rsidRPr="004803DC">
        <w:rPr>
          <w:rFonts w:ascii="Verdana" w:hAnsi="Verdana"/>
          <w:sz w:val="18"/>
          <w:szCs w:val="18"/>
          <w:lang w:val="es-ES_tradnl" w:eastAsia="zh-TW"/>
        </w:rPr>
        <w:t xml:space="preserve"> 2 proyectos admisibles de los 5 postulados en la región.</w:t>
      </w:r>
    </w:p>
    <w:p w:rsidR="00D362AC" w:rsidRPr="00D362AC" w:rsidRDefault="00D362AC" w:rsidP="00D362AC">
      <w:pPr>
        <w:spacing w:line="360" w:lineRule="auto"/>
        <w:jc w:val="both"/>
        <w:rPr>
          <w:rFonts w:ascii="Verdana" w:hAnsi="Verdana"/>
          <w:sz w:val="18"/>
          <w:szCs w:val="18"/>
          <w:lang w:val="es-ES_tradnl" w:eastAsia="zh-TW"/>
        </w:rPr>
      </w:pPr>
    </w:p>
    <w:p w:rsidR="002B00E9" w:rsidRDefault="00D362AC" w:rsidP="00DD634C">
      <w:pPr>
        <w:spacing w:line="360" w:lineRule="auto"/>
        <w:ind w:firstLine="471"/>
        <w:jc w:val="both"/>
        <w:rPr>
          <w:rFonts w:ascii="Verdana" w:hAnsi="Verdana"/>
          <w:sz w:val="18"/>
          <w:szCs w:val="18"/>
          <w:lang w:val="es-ES_tradnl" w:eastAsia="zh-TW"/>
        </w:rPr>
      </w:pPr>
      <w:r>
        <w:rPr>
          <w:rFonts w:ascii="Verdana" w:hAnsi="Verdana"/>
          <w:sz w:val="18"/>
          <w:szCs w:val="18"/>
          <w:lang w:val="es-ES_tradnl" w:eastAsia="zh-TW"/>
        </w:rPr>
        <w:t>Por último, el</w:t>
      </w:r>
      <w:r w:rsidR="002B00E9">
        <w:rPr>
          <w:rFonts w:ascii="Verdana" w:hAnsi="Verdana"/>
          <w:sz w:val="18"/>
          <w:szCs w:val="18"/>
          <w:lang w:val="es-ES_tradnl" w:eastAsia="zh-TW"/>
        </w:rPr>
        <w:t xml:space="preserve"> presente report</w:t>
      </w:r>
      <w:r w:rsidR="00772DBE">
        <w:rPr>
          <w:rFonts w:ascii="Verdana" w:hAnsi="Verdana"/>
          <w:sz w:val="18"/>
          <w:szCs w:val="18"/>
          <w:lang w:val="es-ES_tradnl" w:eastAsia="zh-TW"/>
        </w:rPr>
        <w:t>e expresa el</w:t>
      </w:r>
      <w:r w:rsidR="002B00E9">
        <w:rPr>
          <w:rFonts w:ascii="Verdana" w:hAnsi="Verdana"/>
          <w:sz w:val="18"/>
          <w:szCs w:val="18"/>
          <w:lang w:val="es-ES_tradnl" w:eastAsia="zh-TW"/>
        </w:rPr>
        <w:t xml:space="preserve"> comportamiento de los resultados obtenidos en la convocatoria 2014</w:t>
      </w:r>
      <w:r w:rsidR="00772DBE">
        <w:rPr>
          <w:rFonts w:ascii="Verdana" w:hAnsi="Verdana"/>
          <w:sz w:val="18"/>
          <w:szCs w:val="18"/>
          <w:lang w:val="es-ES_tradnl" w:eastAsia="zh-TW"/>
        </w:rPr>
        <w:t xml:space="preserve"> desde un enfoque cuantitativo a partir del análisis de los datos entregados por los postulantes</w:t>
      </w:r>
      <w:r w:rsidR="002B00E9">
        <w:rPr>
          <w:rFonts w:ascii="Verdana" w:hAnsi="Verdana"/>
          <w:sz w:val="18"/>
          <w:szCs w:val="18"/>
          <w:lang w:val="es-ES_tradnl" w:eastAsia="zh-TW"/>
        </w:rPr>
        <w:t>, siendo un documento facilitador para la dis</w:t>
      </w:r>
      <w:r w:rsidR="00772DBE">
        <w:rPr>
          <w:rFonts w:ascii="Verdana" w:hAnsi="Verdana"/>
          <w:sz w:val="18"/>
          <w:szCs w:val="18"/>
          <w:lang w:val="es-ES_tradnl" w:eastAsia="zh-TW"/>
        </w:rPr>
        <w:t>cusión tanto a nivel regional como central</w:t>
      </w:r>
      <w:r w:rsidR="002B00E9">
        <w:rPr>
          <w:rFonts w:ascii="Verdana" w:hAnsi="Verdana"/>
          <w:sz w:val="18"/>
          <w:szCs w:val="18"/>
          <w:lang w:val="es-ES_tradnl" w:eastAsia="zh-TW"/>
        </w:rPr>
        <w:t xml:space="preserve"> respecto de la </w:t>
      </w:r>
      <w:r w:rsidR="00772DBE">
        <w:rPr>
          <w:rFonts w:ascii="Verdana" w:hAnsi="Verdana"/>
          <w:sz w:val="18"/>
          <w:szCs w:val="18"/>
          <w:lang w:val="es-ES_tradnl" w:eastAsia="zh-TW"/>
        </w:rPr>
        <w:t>participación</w:t>
      </w:r>
      <w:r>
        <w:rPr>
          <w:rFonts w:ascii="Verdana" w:hAnsi="Verdana"/>
          <w:sz w:val="18"/>
          <w:szCs w:val="18"/>
          <w:lang w:val="es-ES_tradnl" w:eastAsia="zh-TW"/>
        </w:rPr>
        <w:t xml:space="preserve"> en relación a los mecanismos de difusión de FAE</w:t>
      </w:r>
      <w:r w:rsidR="00772DBE">
        <w:rPr>
          <w:rFonts w:ascii="Verdana" w:hAnsi="Verdana"/>
          <w:sz w:val="18"/>
          <w:szCs w:val="18"/>
          <w:lang w:val="es-ES_tradnl" w:eastAsia="zh-TW"/>
        </w:rPr>
        <w:t xml:space="preserve">, </w:t>
      </w:r>
      <w:r>
        <w:rPr>
          <w:rFonts w:ascii="Verdana" w:hAnsi="Verdana"/>
          <w:sz w:val="18"/>
          <w:szCs w:val="18"/>
          <w:lang w:val="es-ES_tradnl" w:eastAsia="zh-TW"/>
        </w:rPr>
        <w:t xml:space="preserve">la </w:t>
      </w:r>
      <w:r w:rsidR="00772DBE">
        <w:rPr>
          <w:rFonts w:ascii="Verdana" w:hAnsi="Verdana"/>
          <w:sz w:val="18"/>
          <w:szCs w:val="18"/>
          <w:lang w:val="es-ES_tradnl" w:eastAsia="zh-TW"/>
        </w:rPr>
        <w:t xml:space="preserve">distribución </w:t>
      </w:r>
      <w:r>
        <w:rPr>
          <w:rFonts w:ascii="Verdana" w:hAnsi="Verdana"/>
          <w:sz w:val="18"/>
          <w:szCs w:val="18"/>
          <w:lang w:val="es-ES_tradnl" w:eastAsia="zh-TW"/>
        </w:rPr>
        <w:t xml:space="preserve">territorial </w:t>
      </w:r>
      <w:r w:rsidR="00772DBE">
        <w:rPr>
          <w:rFonts w:ascii="Verdana" w:hAnsi="Verdana"/>
          <w:sz w:val="18"/>
          <w:szCs w:val="18"/>
          <w:lang w:val="es-ES_tradnl" w:eastAsia="zh-TW"/>
        </w:rPr>
        <w:t xml:space="preserve">y </w:t>
      </w:r>
      <w:r>
        <w:rPr>
          <w:rFonts w:ascii="Verdana" w:hAnsi="Verdana"/>
          <w:sz w:val="18"/>
          <w:szCs w:val="18"/>
          <w:lang w:val="es-ES_tradnl" w:eastAsia="zh-TW"/>
        </w:rPr>
        <w:t xml:space="preserve">la </w:t>
      </w:r>
      <w:r w:rsidR="00772DBE">
        <w:rPr>
          <w:rFonts w:ascii="Verdana" w:hAnsi="Verdana"/>
          <w:sz w:val="18"/>
          <w:szCs w:val="18"/>
          <w:lang w:val="es-ES_tradnl" w:eastAsia="zh-TW"/>
        </w:rPr>
        <w:t>ejecución de proyectos artístico –culturales</w:t>
      </w:r>
      <w:r>
        <w:rPr>
          <w:rFonts w:ascii="Verdana" w:hAnsi="Verdana"/>
          <w:sz w:val="18"/>
          <w:szCs w:val="18"/>
          <w:lang w:val="es-ES_tradnl" w:eastAsia="zh-TW"/>
        </w:rPr>
        <w:t xml:space="preserve"> de nueva</w:t>
      </w:r>
      <w:r w:rsidR="002B00E9">
        <w:rPr>
          <w:rFonts w:ascii="Verdana" w:hAnsi="Verdana"/>
          <w:sz w:val="18"/>
          <w:szCs w:val="18"/>
          <w:lang w:val="es-ES_tradnl" w:eastAsia="zh-TW"/>
        </w:rPr>
        <w:t xml:space="preserve">s </w:t>
      </w:r>
      <w:r>
        <w:rPr>
          <w:rFonts w:ascii="Verdana" w:hAnsi="Verdana"/>
          <w:sz w:val="18"/>
          <w:szCs w:val="18"/>
          <w:lang w:val="es-ES_tradnl" w:eastAsia="zh-TW"/>
        </w:rPr>
        <w:t>instituciones educativas y culturales beneficiarias y vinculadas al CNCA por esta única vía.</w:t>
      </w:r>
    </w:p>
    <w:p w:rsidR="00D362AC" w:rsidRDefault="00D362AC" w:rsidP="002B00E9">
      <w:pPr>
        <w:spacing w:line="360" w:lineRule="auto"/>
        <w:ind w:firstLine="471"/>
        <w:jc w:val="both"/>
        <w:rPr>
          <w:rFonts w:ascii="Verdana" w:hAnsi="Verdana"/>
          <w:sz w:val="18"/>
          <w:szCs w:val="18"/>
          <w:lang w:val="es-ES_tradnl" w:eastAsia="zh-TW"/>
        </w:rPr>
      </w:pPr>
    </w:p>
    <w:p w:rsidR="009E0AEC" w:rsidRPr="009E0AEC" w:rsidRDefault="009E0AEC" w:rsidP="009E0AEC">
      <w:pPr>
        <w:spacing w:line="360" w:lineRule="auto"/>
        <w:jc w:val="both"/>
        <w:rPr>
          <w:rFonts w:ascii="Verdana" w:hAnsi="Verdana"/>
          <w:sz w:val="18"/>
          <w:szCs w:val="18"/>
          <w:lang w:val="es-ES_tradnl" w:eastAsia="zh-TW"/>
        </w:rPr>
      </w:pPr>
    </w:p>
    <w:p w:rsidR="00F76EA8" w:rsidRDefault="00F76EA8" w:rsidP="00ED0AF8">
      <w:pPr>
        <w:pStyle w:val="Prrafodelista"/>
        <w:spacing w:line="360" w:lineRule="auto"/>
        <w:ind w:left="831"/>
        <w:jc w:val="both"/>
        <w:rPr>
          <w:rFonts w:ascii="Verdana" w:hAnsi="Verdana"/>
          <w:sz w:val="18"/>
          <w:szCs w:val="18"/>
          <w:lang w:val="es-ES_tradnl" w:eastAsia="zh-TW"/>
        </w:rPr>
      </w:pPr>
    </w:p>
    <w:p w:rsidR="00845D9D" w:rsidRPr="004803DC" w:rsidRDefault="00845D9D" w:rsidP="004803DC">
      <w:pPr>
        <w:spacing w:line="360" w:lineRule="auto"/>
        <w:jc w:val="both"/>
        <w:rPr>
          <w:rFonts w:ascii="Verdana" w:hAnsi="Verdana"/>
          <w:sz w:val="18"/>
          <w:szCs w:val="18"/>
          <w:lang w:val="es-ES"/>
        </w:rPr>
      </w:pPr>
    </w:p>
    <w:sectPr w:rsidR="00845D9D" w:rsidRPr="004803DC" w:rsidSect="00B941CF">
      <w:pgSz w:w="12240" w:h="15840" w:code="1"/>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8F" w:rsidRDefault="00DC6B8F" w:rsidP="007D2192">
      <w:pPr>
        <w:spacing w:after="0" w:line="240" w:lineRule="auto"/>
      </w:pPr>
      <w:r>
        <w:separator/>
      </w:r>
    </w:p>
  </w:endnote>
  <w:endnote w:type="continuationSeparator" w:id="0">
    <w:p w:rsidR="00DC6B8F" w:rsidRDefault="00DC6B8F" w:rsidP="007D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8F" w:rsidRDefault="00DC6B8F" w:rsidP="007D2192">
      <w:pPr>
        <w:spacing w:after="0" w:line="240" w:lineRule="auto"/>
      </w:pPr>
      <w:r>
        <w:separator/>
      </w:r>
    </w:p>
  </w:footnote>
  <w:footnote w:type="continuationSeparator" w:id="0">
    <w:p w:rsidR="00DC6B8F" w:rsidRDefault="00DC6B8F" w:rsidP="007D2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AF4"/>
    <w:multiLevelType w:val="hybridMultilevel"/>
    <w:tmpl w:val="74E26780"/>
    <w:lvl w:ilvl="0" w:tplc="340A000F">
      <w:start w:val="3"/>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F34A8F"/>
    <w:multiLevelType w:val="hybridMultilevel"/>
    <w:tmpl w:val="1910C438"/>
    <w:lvl w:ilvl="0" w:tplc="C646F442">
      <w:start w:val="2014"/>
      <w:numFmt w:val="bullet"/>
      <w:lvlText w:val="-"/>
      <w:lvlJc w:val="left"/>
      <w:pPr>
        <w:ind w:left="831" w:hanging="360"/>
      </w:pPr>
      <w:rPr>
        <w:rFonts w:ascii="Calibri" w:eastAsiaTheme="minorHAnsi" w:hAnsi="Calibri" w:cs="Calibri" w:hint="default"/>
      </w:rPr>
    </w:lvl>
    <w:lvl w:ilvl="1" w:tplc="340A0003" w:tentative="1">
      <w:start w:val="1"/>
      <w:numFmt w:val="bullet"/>
      <w:lvlText w:val="o"/>
      <w:lvlJc w:val="left"/>
      <w:pPr>
        <w:ind w:left="1551" w:hanging="360"/>
      </w:pPr>
      <w:rPr>
        <w:rFonts w:ascii="Courier New" w:hAnsi="Courier New" w:cs="Courier New" w:hint="default"/>
      </w:rPr>
    </w:lvl>
    <w:lvl w:ilvl="2" w:tplc="340A0005" w:tentative="1">
      <w:start w:val="1"/>
      <w:numFmt w:val="bullet"/>
      <w:lvlText w:val=""/>
      <w:lvlJc w:val="left"/>
      <w:pPr>
        <w:ind w:left="2271" w:hanging="360"/>
      </w:pPr>
      <w:rPr>
        <w:rFonts w:ascii="Wingdings" w:hAnsi="Wingdings" w:hint="default"/>
      </w:rPr>
    </w:lvl>
    <w:lvl w:ilvl="3" w:tplc="340A0001" w:tentative="1">
      <w:start w:val="1"/>
      <w:numFmt w:val="bullet"/>
      <w:lvlText w:val=""/>
      <w:lvlJc w:val="left"/>
      <w:pPr>
        <w:ind w:left="2991" w:hanging="360"/>
      </w:pPr>
      <w:rPr>
        <w:rFonts w:ascii="Symbol" w:hAnsi="Symbol" w:hint="default"/>
      </w:rPr>
    </w:lvl>
    <w:lvl w:ilvl="4" w:tplc="340A0003" w:tentative="1">
      <w:start w:val="1"/>
      <w:numFmt w:val="bullet"/>
      <w:lvlText w:val="o"/>
      <w:lvlJc w:val="left"/>
      <w:pPr>
        <w:ind w:left="3711" w:hanging="360"/>
      </w:pPr>
      <w:rPr>
        <w:rFonts w:ascii="Courier New" w:hAnsi="Courier New" w:cs="Courier New" w:hint="default"/>
      </w:rPr>
    </w:lvl>
    <w:lvl w:ilvl="5" w:tplc="340A0005" w:tentative="1">
      <w:start w:val="1"/>
      <w:numFmt w:val="bullet"/>
      <w:lvlText w:val=""/>
      <w:lvlJc w:val="left"/>
      <w:pPr>
        <w:ind w:left="4431" w:hanging="360"/>
      </w:pPr>
      <w:rPr>
        <w:rFonts w:ascii="Wingdings" w:hAnsi="Wingdings" w:hint="default"/>
      </w:rPr>
    </w:lvl>
    <w:lvl w:ilvl="6" w:tplc="340A0001" w:tentative="1">
      <w:start w:val="1"/>
      <w:numFmt w:val="bullet"/>
      <w:lvlText w:val=""/>
      <w:lvlJc w:val="left"/>
      <w:pPr>
        <w:ind w:left="5151" w:hanging="360"/>
      </w:pPr>
      <w:rPr>
        <w:rFonts w:ascii="Symbol" w:hAnsi="Symbol" w:hint="default"/>
      </w:rPr>
    </w:lvl>
    <w:lvl w:ilvl="7" w:tplc="340A0003" w:tentative="1">
      <w:start w:val="1"/>
      <w:numFmt w:val="bullet"/>
      <w:lvlText w:val="o"/>
      <w:lvlJc w:val="left"/>
      <w:pPr>
        <w:ind w:left="5871" w:hanging="360"/>
      </w:pPr>
      <w:rPr>
        <w:rFonts w:ascii="Courier New" w:hAnsi="Courier New" w:cs="Courier New" w:hint="default"/>
      </w:rPr>
    </w:lvl>
    <w:lvl w:ilvl="8" w:tplc="340A0005" w:tentative="1">
      <w:start w:val="1"/>
      <w:numFmt w:val="bullet"/>
      <w:lvlText w:val=""/>
      <w:lvlJc w:val="left"/>
      <w:pPr>
        <w:ind w:left="6591" w:hanging="360"/>
      </w:pPr>
      <w:rPr>
        <w:rFonts w:ascii="Wingdings" w:hAnsi="Wingdings" w:hint="default"/>
      </w:rPr>
    </w:lvl>
  </w:abstractNum>
  <w:abstractNum w:abstractNumId="2">
    <w:nsid w:val="26EF6931"/>
    <w:multiLevelType w:val="hybridMultilevel"/>
    <w:tmpl w:val="92788BA4"/>
    <w:lvl w:ilvl="0" w:tplc="CA244C88">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3459793B"/>
    <w:multiLevelType w:val="hybridMultilevel"/>
    <w:tmpl w:val="560A50E2"/>
    <w:lvl w:ilvl="0" w:tplc="D23E15F2">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9E75E29"/>
    <w:multiLevelType w:val="hybridMultilevel"/>
    <w:tmpl w:val="2A100ED4"/>
    <w:lvl w:ilvl="0" w:tplc="20968F9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579407B3"/>
    <w:multiLevelType w:val="hybridMultilevel"/>
    <w:tmpl w:val="771495BA"/>
    <w:lvl w:ilvl="0" w:tplc="A0F0BC1E">
      <w:start w:val="1"/>
      <w:numFmt w:val="decimal"/>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F644BFC"/>
    <w:multiLevelType w:val="hybridMultilevel"/>
    <w:tmpl w:val="FCA60342"/>
    <w:lvl w:ilvl="0" w:tplc="050A9426">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671602A1"/>
    <w:multiLevelType w:val="hybridMultilevel"/>
    <w:tmpl w:val="B7549D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3863F7D"/>
    <w:multiLevelType w:val="hybridMultilevel"/>
    <w:tmpl w:val="3ED6FD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92"/>
    <w:rsid w:val="000654F5"/>
    <w:rsid w:val="00087CFD"/>
    <w:rsid w:val="000934A8"/>
    <w:rsid w:val="000B2E31"/>
    <w:rsid w:val="00100523"/>
    <w:rsid w:val="001176F0"/>
    <w:rsid w:val="00133913"/>
    <w:rsid w:val="00166B92"/>
    <w:rsid w:val="001D7815"/>
    <w:rsid w:val="001E47F2"/>
    <w:rsid w:val="00266497"/>
    <w:rsid w:val="002905CB"/>
    <w:rsid w:val="002B00E9"/>
    <w:rsid w:val="00311708"/>
    <w:rsid w:val="00391B3F"/>
    <w:rsid w:val="003F41F7"/>
    <w:rsid w:val="0043681F"/>
    <w:rsid w:val="00436C61"/>
    <w:rsid w:val="00470598"/>
    <w:rsid w:val="004803DC"/>
    <w:rsid w:val="004B4957"/>
    <w:rsid w:val="004E40D3"/>
    <w:rsid w:val="004F53FD"/>
    <w:rsid w:val="0055571B"/>
    <w:rsid w:val="006056EC"/>
    <w:rsid w:val="00646E69"/>
    <w:rsid w:val="00662EE8"/>
    <w:rsid w:val="006F15FD"/>
    <w:rsid w:val="006F4633"/>
    <w:rsid w:val="0074423F"/>
    <w:rsid w:val="00744427"/>
    <w:rsid w:val="00772DBE"/>
    <w:rsid w:val="007B1D73"/>
    <w:rsid w:val="007D2192"/>
    <w:rsid w:val="007F7871"/>
    <w:rsid w:val="00845D9D"/>
    <w:rsid w:val="0086408C"/>
    <w:rsid w:val="008F5A66"/>
    <w:rsid w:val="009D1419"/>
    <w:rsid w:val="009E0AEC"/>
    <w:rsid w:val="00A06ADD"/>
    <w:rsid w:val="00A45AE2"/>
    <w:rsid w:val="00A83175"/>
    <w:rsid w:val="00AB30D6"/>
    <w:rsid w:val="00B941CF"/>
    <w:rsid w:val="00B95749"/>
    <w:rsid w:val="00C11D09"/>
    <w:rsid w:val="00C136EB"/>
    <w:rsid w:val="00CA293C"/>
    <w:rsid w:val="00CD0B22"/>
    <w:rsid w:val="00CD6BE3"/>
    <w:rsid w:val="00CF4D3A"/>
    <w:rsid w:val="00D04C51"/>
    <w:rsid w:val="00D13A86"/>
    <w:rsid w:val="00D227A9"/>
    <w:rsid w:val="00D362AC"/>
    <w:rsid w:val="00D665BE"/>
    <w:rsid w:val="00D96ADF"/>
    <w:rsid w:val="00DB67E1"/>
    <w:rsid w:val="00DC6B8F"/>
    <w:rsid w:val="00DD634C"/>
    <w:rsid w:val="00DF2A33"/>
    <w:rsid w:val="00E0187E"/>
    <w:rsid w:val="00E24A38"/>
    <w:rsid w:val="00ED0AF8"/>
    <w:rsid w:val="00F76EA8"/>
    <w:rsid w:val="00F82F29"/>
    <w:rsid w:val="00F8697C"/>
    <w:rsid w:val="00FE331C"/>
    <w:rsid w:val="00FE72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2192"/>
    <w:pPr>
      <w:spacing w:before="160" w:after="0" w:line="240" w:lineRule="auto"/>
      <w:outlineLvl w:val="0"/>
    </w:pPr>
    <w:rPr>
      <w:rFonts w:asciiTheme="majorHAnsi" w:hAnsiTheme="majorHAnsi"/>
      <w:color w:val="4F81BD" w:themeColor="accent1"/>
      <w:sz w:val="48"/>
      <w:szCs w:val="48"/>
      <w:lang w:val="en-US" w:eastAsia="zh-TW"/>
    </w:rPr>
  </w:style>
  <w:style w:type="paragraph" w:styleId="Ttulo2">
    <w:name w:val="heading 2"/>
    <w:basedOn w:val="Normal"/>
    <w:next w:val="Normal"/>
    <w:link w:val="Ttulo2Car"/>
    <w:uiPriority w:val="9"/>
    <w:unhideWhenUsed/>
    <w:qFormat/>
    <w:rsid w:val="007D2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192"/>
  </w:style>
  <w:style w:type="paragraph" w:styleId="Piedepgina">
    <w:name w:val="footer"/>
    <w:basedOn w:val="Normal"/>
    <w:link w:val="PiedepginaCar"/>
    <w:uiPriority w:val="99"/>
    <w:unhideWhenUsed/>
    <w:rsid w:val="007D2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192"/>
  </w:style>
  <w:style w:type="paragraph" w:styleId="Textodeglobo">
    <w:name w:val="Balloon Text"/>
    <w:basedOn w:val="Normal"/>
    <w:link w:val="TextodegloboCar"/>
    <w:uiPriority w:val="99"/>
    <w:semiHidden/>
    <w:unhideWhenUsed/>
    <w:rsid w:val="007D21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192"/>
    <w:rPr>
      <w:rFonts w:ascii="Tahoma" w:hAnsi="Tahoma" w:cs="Tahoma"/>
      <w:sz w:val="16"/>
      <w:szCs w:val="16"/>
    </w:rPr>
  </w:style>
  <w:style w:type="paragraph" w:customStyle="1" w:styleId="CompanyInfo">
    <w:name w:val="Company Info"/>
    <w:basedOn w:val="Normal"/>
    <w:qFormat/>
    <w:rsid w:val="007D2192"/>
    <w:pPr>
      <w:spacing w:before="300" w:after="0" w:line="360" w:lineRule="auto"/>
      <w:contextualSpacing/>
      <w:jc w:val="center"/>
    </w:pPr>
    <w:rPr>
      <w:color w:val="7F7F7F" w:themeColor="text1" w:themeTint="80"/>
      <w:sz w:val="20"/>
      <w:szCs w:val="18"/>
      <w:lang w:val="en-US" w:eastAsia="zh-TW"/>
    </w:rPr>
  </w:style>
  <w:style w:type="character" w:customStyle="1" w:styleId="Ttulo1Car">
    <w:name w:val="Título 1 Car"/>
    <w:basedOn w:val="Fuentedeprrafopredeter"/>
    <w:link w:val="Ttulo1"/>
    <w:uiPriority w:val="9"/>
    <w:rsid w:val="007D2192"/>
    <w:rPr>
      <w:rFonts w:asciiTheme="majorHAnsi" w:hAnsiTheme="majorHAnsi"/>
      <w:color w:val="4F81BD" w:themeColor="accent1"/>
      <w:sz w:val="48"/>
      <w:szCs w:val="48"/>
      <w:lang w:val="en-US" w:eastAsia="zh-TW"/>
    </w:rPr>
  </w:style>
  <w:style w:type="character" w:customStyle="1" w:styleId="Ttulo2Car">
    <w:name w:val="Título 2 Car"/>
    <w:basedOn w:val="Fuentedeprrafopredeter"/>
    <w:link w:val="Ttulo2"/>
    <w:uiPriority w:val="9"/>
    <w:rsid w:val="007D2192"/>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C136EB"/>
    <w:rPr>
      <w:color w:val="0000FF" w:themeColor="hyperlink"/>
      <w:u w:val="single"/>
    </w:rPr>
  </w:style>
  <w:style w:type="paragraph" w:styleId="Prrafodelista">
    <w:name w:val="List Paragraph"/>
    <w:basedOn w:val="Normal"/>
    <w:uiPriority w:val="34"/>
    <w:qFormat/>
    <w:rsid w:val="00C13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2192"/>
    <w:pPr>
      <w:spacing w:before="160" w:after="0" w:line="240" w:lineRule="auto"/>
      <w:outlineLvl w:val="0"/>
    </w:pPr>
    <w:rPr>
      <w:rFonts w:asciiTheme="majorHAnsi" w:hAnsiTheme="majorHAnsi"/>
      <w:color w:val="4F81BD" w:themeColor="accent1"/>
      <w:sz w:val="48"/>
      <w:szCs w:val="48"/>
      <w:lang w:val="en-US" w:eastAsia="zh-TW"/>
    </w:rPr>
  </w:style>
  <w:style w:type="paragraph" w:styleId="Ttulo2">
    <w:name w:val="heading 2"/>
    <w:basedOn w:val="Normal"/>
    <w:next w:val="Normal"/>
    <w:link w:val="Ttulo2Car"/>
    <w:uiPriority w:val="9"/>
    <w:unhideWhenUsed/>
    <w:qFormat/>
    <w:rsid w:val="007D2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192"/>
  </w:style>
  <w:style w:type="paragraph" w:styleId="Piedepgina">
    <w:name w:val="footer"/>
    <w:basedOn w:val="Normal"/>
    <w:link w:val="PiedepginaCar"/>
    <w:uiPriority w:val="99"/>
    <w:unhideWhenUsed/>
    <w:rsid w:val="007D2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192"/>
  </w:style>
  <w:style w:type="paragraph" w:styleId="Textodeglobo">
    <w:name w:val="Balloon Text"/>
    <w:basedOn w:val="Normal"/>
    <w:link w:val="TextodegloboCar"/>
    <w:uiPriority w:val="99"/>
    <w:semiHidden/>
    <w:unhideWhenUsed/>
    <w:rsid w:val="007D21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192"/>
    <w:rPr>
      <w:rFonts w:ascii="Tahoma" w:hAnsi="Tahoma" w:cs="Tahoma"/>
      <w:sz w:val="16"/>
      <w:szCs w:val="16"/>
    </w:rPr>
  </w:style>
  <w:style w:type="paragraph" w:customStyle="1" w:styleId="CompanyInfo">
    <w:name w:val="Company Info"/>
    <w:basedOn w:val="Normal"/>
    <w:qFormat/>
    <w:rsid w:val="007D2192"/>
    <w:pPr>
      <w:spacing w:before="300" w:after="0" w:line="360" w:lineRule="auto"/>
      <w:contextualSpacing/>
      <w:jc w:val="center"/>
    </w:pPr>
    <w:rPr>
      <w:color w:val="7F7F7F" w:themeColor="text1" w:themeTint="80"/>
      <w:sz w:val="20"/>
      <w:szCs w:val="18"/>
      <w:lang w:val="en-US" w:eastAsia="zh-TW"/>
    </w:rPr>
  </w:style>
  <w:style w:type="character" w:customStyle="1" w:styleId="Ttulo1Car">
    <w:name w:val="Título 1 Car"/>
    <w:basedOn w:val="Fuentedeprrafopredeter"/>
    <w:link w:val="Ttulo1"/>
    <w:uiPriority w:val="9"/>
    <w:rsid w:val="007D2192"/>
    <w:rPr>
      <w:rFonts w:asciiTheme="majorHAnsi" w:hAnsiTheme="majorHAnsi"/>
      <w:color w:val="4F81BD" w:themeColor="accent1"/>
      <w:sz w:val="48"/>
      <w:szCs w:val="48"/>
      <w:lang w:val="en-US" w:eastAsia="zh-TW"/>
    </w:rPr>
  </w:style>
  <w:style w:type="character" w:customStyle="1" w:styleId="Ttulo2Car">
    <w:name w:val="Título 2 Car"/>
    <w:basedOn w:val="Fuentedeprrafopredeter"/>
    <w:link w:val="Ttulo2"/>
    <w:uiPriority w:val="9"/>
    <w:rsid w:val="007D2192"/>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C136EB"/>
    <w:rPr>
      <w:color w:val="0000FF" w:themeColor="hyperlink"/>
      <w:u w:val="single"/>
    </w:rPr>
  </w:style>
  <w:style w:type="paragraph" w:styleId="Prrafodelista">
    <w:name w:val="List Paragraph"/>
    <w:basedOn w:val="Normal"/>
    <w:uiPriority w:val="34"/>
    <w:qFormat/>
    <w:rsid w:val="00C1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434">
      <w:bodyDiv w:val="1"/>
      <w:marLeft w:val="0"/>
      <w:marRight w:val="0"/>
      <w:marTop w:val="0"/>
      <w:marBottom w:val="0"/>
      <w:divBdr>
        <w:top w:val="none" w:sz="0" w:space="0" w:color="auto"/>
        <w:left w:val="none" w:sz="0" w:space="0" w:color="auto"/>
        <w:bottom w:val="none" w:sz="0" w:space="0" w:color="auto"/>
        <w:right w:val="none" w:sz="0" w:space="0" w:color="auto"/>
      </w:divBdr>
    </w:div>
    <w:div w:id="98067134">
      <w:bodyDiv w:val="1"/>
      <w:marLeft w:val="0"/>
      <w:marRight w:val="0"/>
      <w:marTop w:val="0"/>
      <w:marBottom w:val="0"/>
      <w:divBdr>
        <w:top w:val="none" w:sz="0" w:space="0" w:color="auto"/>
        <w:left w:val="none" w:sz="0" w:space="0" w:color="auto"/>
        <w:bottom w:val="none" w:sz="0" w:space="0" w:color="auto"/>
        <w:right w:val="none" w:sz="0" w:space="0" w:color="auto"/>
      </w:divBdr>
    </w:div>
    <w:div w:id="208030043">
      <w:bodyDiv w:val="1"/>
      <w:marLeft w:val="0"/>
      <w:marRight w:val="0"/>
      <w:marTop w:val="0"/>
      <w:marBottom w:val="0"/>
      <w:divBdr>
        <w:top w:val="none" w:sz="0" w:space="0" w:color="auto"/>
        <w:left w:val="none" w:sz="0" w:space="0" w:color="auto"/>
        <w:bottom w:val="none" w:sz="0" w:space="0" w:color="auto"/>
        <w:right w:val="none" w:sz="0" w:space="0" w:color="auto"/>
      </w:divBdr>
    </w:div>
    <w:div w:id="476536979">
      <w:bodyDiv w:val="1"/>
      <w:marLeft w:val="0"/>
      <w:marRight w:val="0"/>
      <w:marTop w:val="0"/>
      <w:marBottom w:val="0"/>
      <w:divBdr>
        <w:top w:val="none" w:sz="0" w:space="0" w:color="auto"/>
        <w:left w:val="none" w:sz="0" w:space="0" w:color="auto"/>
        <w:bottom w:val="none" w:sz="0" w:space="0" w:color="auto"/>
        <w:right w:val="none" w:sz="0" w:space="0" w:color="auto"/>
      </w:divBdr>
    </w:div>
    <w:div w:id="485557643">
      <w:bodyDiv w:val="1"/>
      <w:marLeft w:val="0"/>
      <w:marRight w:val="0"/>
      <w:marTop w:val="0"/>
      <w:marBottom w:val="0"/>
      <w:divBdr>
        <w:top w:val="none" w:sz="0" w:space="0" w:color="auto"/>
        <w:left w:val="none" w:sz="0" w:space="0" w:color="auto"/>
        <w:bottom w:val="none" w:sz="0" w:space="0" w:color="auto"/>
        <w:right w:val="none" w:sz="0" w:space="0" w:color="auto"/>
      </w:divBdr>
    </w:div>
    <w:div w:id="542715650">
      <w:bodyDiv w:val="1"/>
      <w:marLeft w:val="0"/>
      <w:marRight w:val="0"/>
      <w:marTop w:val="0"/>
      <w:marBottom w:val="0"/>
      <w:divBdr>
        <w:top w:val="none" w:sz="0" w:space="0" w:color="auto"/>
        <w:left w:val="none" w:sz="0" w:space="0" w:color="auto"/>
        <w:bottom w:val="none" w:sz="0" w:space="0" w:color="auto"/>
        <w:right w:val="none" w:sz="0" w:space="0" w:color="auto"/>
      </w:divBdr>
    </w:div>
    <w:div w:id="599995914">
      <w:bodyDiv w:val="1"/>
      <w:marLeft w:val="0"/>
      <w:marRight w:val="0"/>
      <w:marTop w:val="0"/>
      <w:marBottom w:val="0"/>
      <w:divBdr>
        <w:top w:val="none" w:sz="0" w:space="0" w:color="auto"/>
        <w:left w:val="none" w:sz="0" w:space="0" w:color="auto"/>
        <w:bottom w:val="none" w:sz="0" w:space="0" w:color="auto"/>
        <w:right w:val="none" w:sz="0" w:space="0" w:color="auto"/>
      </w:divBdr>
    </w:div>
    <w:div w:id="643507953">
      <w:bodyDiv w:val="1"/>
      <w:marLeft w:val="0"/>
      <w:marRight w:val="0"/>
      <w:marTop w:val="0"/>
      <w:marBottom w:val="0"/>
      <w:divBdr>
        <w:top w:val="none" w:sz="0" w:space="0" w:color="auto"/>
        <w:left w:val="none" w:sz="0" w:space="0" w:color="auto"/>
        <w:bottom w:val="none" w:sz="0" w:space="0" w:color="auto"/>
        <w:right w:val="none" w:sz="0" w:space="0" w:color="auto"/>
      </w:divBdr>
    </w:div>
    <w:div w:id="1255894140">
      <w:bodyDiv w:val="1"/>
      <w:marLeft w:val="0"/>
      <w:marRight w:val="0"/>
      <w:marTop w:val="0"/>
      <w:marBottom w:val="0"/>
      <w:divBdr>
        <w:top w:val="none" w:sz="0" w:space="0" w:color="auto"/>
        <w:left w:val="none" w:sz="0" w:space="0" w:color="auto"/>
        <w:bottom w:val="none" w:sz="0" w:space="0" w:color="auto"/>
        <w:right w:val="none" w:sz="0" w:space="0" w:color="auto"/>
      </w:divBdr>
    </w:div>
    <w:div w:id="1359045415">
      <w:bodyDiv w:val="1"/>
      <w:marLeft w:val="0"/>
      <w:marRight w:val="0"/>
      <w:marTop w:val="0"/>
      <w:marBottom w:val="0"/>
      <w:divBdr>
        <w:top w:val="none" w:sz="0" w:space="0" w:color="auto"/>
        <w:left w:val="none" w:sz="0" w:space="0" w:color="auto"/>
        <w:bottom w:val="none" w:sz="0" w:space="0" w:color="auto"/>
        <w:right w:val="none" w:sz="0" w:space="0" w:color="auto"/>
      </w:divBdr>
    </w:div>
    <w:div w:id="1728409225">
      <w:bodyDiv w:val="1"/>
      <w:marLeft w:val="0"/>
      <w:marRight w:val="0"/>
      <w:marTop w:val="0"/>
      <w:marBottom w:val="0"/>
      <w:divBdr>
        <w:top w:val="none" w:sz="0" w:space="0" w:color="auto"/>
        <w:left w:val="none" w:sz="0" w:space="0" w:color="auto"/>
        <w:bottom w:val="none" w:sz="0" w:space="0" w:color="auto"/>
        <w:right w:val="none" w:sz="0" w:space="0" w:color="auto"/>
      </w:divBdr>
    </w:div>
    <w:div w:id="1747142653">
      <w:bodyDiv w:val="1"/>
      <w:marLeft w:val="0"/>
      <w:marRight w:val="0"/>
      <w:marTop w:val="0"/>
      <w:marBottom w:val="0"/>
      <w:divBdr>
        <w:top w:val="none" w:sz="0" w:space="0" w:color="auto"/>
        <w:left w:val="none" w:sz="0" w:space="0" w:color="auto"/>
        <w:bottom w:val="none" w:sz="0" w:space="0" w:color="auto"/>
        <w:right w:val="none" w:sz="0" w:space="0" w:color="auto"/>
      </w:divBdr>
    </w:div>
    <w:div w:id="18489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estaciondelasartes.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rcelo.lucero.CULTURA\Escritorio\Reporte%20estad&#237;stico%20FAE%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rcelo.lucero.CULTURA\Escritorio\Reporte%20estad&#237;stico%20FAE%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rcelo.lucero.CULTURA\Escritorio\Reporte%20estad&#237;stico%20FAE%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25"/>
          <c:dLbls>
            <c:dLbl>
              <c:idx val="0"/>
              <c:layout>
                <c:manualLayout>
                  <c:x val="2.4458539533914997E-2"/>
                  <c:y val="7.1005902456236836E-2"/>
                </c:manualLayout>
              </c:layout>
              <c:showLegendKey val="0"/>
              <c:showVal val="0"/>
              <c:showCatName val="1"/>
              <c:showSerName val="0"/>
              <c:showPercent val="1"/>
              <c:showBubbleSize val="0"/>
            </c:dLbl>
            <c:dLbl>
              <c:idx val="1"/>
              <c:layout>
                <c:manualLayout>
                  <c:x val="-3.7057739625283345E-2"/>
                  <c:y val="-0.11314766742814923"/>
                </c:manualLayout>
              </c:layout>
              <c:showLegendKey val="0"/>
              <c:showVal val="0"/>
              <c:showCatName val="1"/>
              <c:showSerName val="0"/>
              <c:showPercent val="1"/>
              <c:showBubbleSize val="0"/>
            </c:dLbl>
            <c:txPr>
              <a:bodyPr/>
              <a:lstStyle/>
              <a:p>
                <a:pPr>
                  <a:defRPr b="1"/>
                </a:pPr>
                <a:endParaRPr lang="es-CL"/>
              </a:p>
            </c:txPr>
            <c:showLegendKey val="0"/>
            <c:showVal val="0"/>
            <c:showCatName val="1"/>
            <c:showSerName val="0"/>
            <c:showPercent val="1"/>
            <c:showBubbleSize val="0"/>
            <c:showLeaderLines val="1"/>
          </c:dLbls>
          <c:cat>
            <c:strRef>
              <c:f>'Gráfico N°1'!$C$2:$D$2</c:f>
              <c:strCache>
                <c:ptCount val="2"/>
                <c:pt idx="0">
                  <c:v>Proyectos Inadmisibles</c:v>
                </c:pt>
                <c:pt idx="1">
                  <c:v>Proyectos Admisibles</c:v>
                </c:pt>
              </c:strCache>
            </c:strRef>
          </c:cat>
          <c:val>
            <c:numRef>
              <c:f>'Gráfico N°1'!$C$3:$D$3</c:f>
              <c:numCache>
                <c:formatCode>General</c:formatCode>
                <c:ptCount val="2"/>
                <c:pt idx="0">
                  <c:v>49</c:v>
                </c:pt>
                <c:pt idx="1">
                  <c:v>163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cked"/>
        <c:varyColors val="0"/>
        <c:ser>
          <c:idx val="0"/>
          <c:order val="0"/>
          <c:dPt>
            <c:idx val="0"/>
            <c:bubble3D val="1"/>
          </c:dPt>
          <c:dPt>
            <c:idx val="2"/>
            <c:bubble3D val="1"/>
          </c:dPt>
          <c:dPt>
            <c:idx val="3"/>
            <c:bubble3D val="1"/>
          </c:dPt>
          <c:cat>
            <c:strRef>
              <c:f>Postulación!$B$25:$B$28</c:f>
              <c:strCache>
                <c:ptCount val="4"/>
                <c:pt idx="0">
                  <c:v>1.a Escuelas y Liceos Artísticos Especializados</c:v>
                </c:pt>
                <c:pt idx="1">
                  <c:v>1.b Escuelas y Liceos con Integración de las Artes</c:v>
                </c:pt>
                <c:pt idx="2">
                  <c:v>2.a Instituciones Artístico Culturales  de Formación Artística</c:v>
                </c:pt>
                <c:pt idx="3">
                  <c:v>2.b Instituciones Artístico Culturales de Promoción Artística</c:v>
                </c:pt>
              </c:strCache>
            </c:strRef>
          </c:cat>
          <c:val>
            <c:numRef>
              <c:f>Postulación!$C$25:$C$28</c:f>
              <c:numCache>
                <c:formatCode>#,##0</c:formatCode>
                <c:ptCount val="4"/>
                <c:pt idx="0">
                  <c:v>71627599</c:v>
                </c:pt>
                <c:pt idx="1">
                  <c:v>245527841</c:v>
                </c:pt>
                <c:pt idx="2">
                  <c:v>66670441</c:v>
                </c:pt>
                <c:pt idx="3">
                  <c:v>122555119</c:v>
                </c:pt>
              </c:numCache>
            </c:numRef>
          </c:val>
          <c:smooth val="0"/>
        </c:ser>
        <c:dLbls>
          <c:showLegendKey val="0"/>
          <c:showVal val="1"/>
          <c:showCatName val="0"/>
          <c:showSerName val="0"/>
          <c:showPercent val="0"/>
          <c:showBubbleSize val="0"/>
        </c:dLbls>
        <c:marker val="1"/>
        <c:smooth val="0"/>
        <c:axId val="182005760"/>
        <c:axId val="182007296"/>
      </c:lineChart>
      <c:catAx>
        <c:axId val="182005760"/>
        <c:scaling>
          <c:orientation val="minMax"/>
        </c:scaling>
        <c:delete val="0"/>
        <c:axPos val="b"/>
        <c:majorTickMark val="none"/>
        <c:minorTickMark val="none"/>
        <c:tickLblPos val="nextTo"/>
        <c:txPr>
          <a:bodyPr/>
          <a:lstStyle/>
          <a:p>
            <a:pPr>
              <a:defRPr b="1">
                <a:solidFill>
                  <a:schemeClr val="accent2"/>
                </a:solidFill>
              </a:defRPr>
            </a:pPr>
            <a:endParaRPr lang="es-CL"/>
          </a:p>
        </c:txPr>
        <c:crossAx val="182007296"/>
        <c:crosses val="autoZero"/>
        <c:auto val="1"/>
        <c:lblAlgn val="ctr"/>
        <c:lblOffset val="100"/>
        <c:noMultiLvlLbl val="0"/>
      </c:catAx>
      <c:valAx>
        <c:axId val="182007296"/>
        <c:scaling>
          <c:orientation val="minMax"/>
        </c:scaling>
        <c:delete val="0"/>
        <c:axPos val="l"/>
        <c:majorGridlines/>
        <c:numFmt formatCode="#,##0" sourceLinked="1"/>
        <c:majorTickMark val="none"/>
        <c:minorTickMark val="none"/>
        <c:tickLblPos val="nextTo"/>
        <c:txPr>
          <a:bodyPr/>
          <a:lstStyle/>
          <a:p>
            <a:pPr>
              <a:defRPr b="1">
                <a:solidFill>
                  <a:schemeClr val="accent2"/>
                </a:solidFill>
              </a:defRPr>
            </a:pPr>
            <a:endParaRPr lang="es-CL"/>
          </a:p>
        </c:txPr>
        <c:crossAx val="1820057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'Gráfico N°2'!$H$1</c:f>
              <c:strCache>
                <c:ptCount val="1"/>
                <c:pt idx="0">
                  <c:v>Monto adjudicado</c:v>
                </c:pt>
              </c:strCache>
            </c:strRef>
          </c:tx>
          <c:explosion val="25"/>
          <c:dLbls>
            <c:showLegendKey val="0"/>
            <c:showVal val="0"/>
            <c:showCatName val="0"/>
            <c:showSerName val="0"/>
            <c:showPercent val="1"/>
            <c:showBubbleSize val="0"/>
            <c:showLeaderLines val="1"/>
          </c:dLbls>
          <c:cat>
            <c:strRef>
              <c:f>'Gráfico N°2'!$G$2:$G$5</c:f>
              <c:strCache>
                <c:ptCount val="4"/>
                <c:pt idx="0">
                  <c:v>Equipamiento y Material de Enseñanza</c:v>
                </c:pt>
                <c:pt idx="1">
                  <c:v>Extensión y Difusión</c:v>
                </c:pt>
                <c:pt idx="2">
                  <c:v>Implementación y Mejoramiento Curricular</c:v>
                </c:pt>
                <c:pt idx="3">
                  <c:v>Perfeccionamiento Docente y Directivo</c:v>
                </c:pt>
              </c:strCache>
            </c:strRef>
          </c:cat>
          <c:val>
            <c:numRef>
              <c:f>'Gráfico N°2'!$H$2:$H$5</c:f>
              <c:numCache>
                <c:formatCode>"$"\ #,##0</c:formatCode>
                <c:ptCount val="4"/>
                <c:pt idx="0">
                  <c:v>349797185</c:v>
                </c:pt>
                <c:pt idx="1">
                  <c:v>57611107</c:v>
                </c:pt>
                <c:pt idx="2">
                  <c:v>74058539</c:v>
                </c:pt>
                <c:pt idx="3">
                  <c:v>24914169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2334</Words>
  <Characters>12842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Andrés Lucero Tobar</dc:creator>
  <cp:keywords/>
  <dc:description/>
  <cp:lastModifiedBy>Marcelo Andrés Lucero Tobar</cp:lastModifiedBy>
  <cp:revision>15</cp:revision>
  <cp:lastPrinted>2014-04-07T15:19:00Z</cp:lastPrinted>
  <dcterms:created xsi:type="dcterms:W3CDTF">2014-03-05T19:27:00Z</dcterms:created>
  <dcterms:modified xsi:type="dcterms:W3CDTF">2015-02-27T12:12:00Z</dcterms:modified>
</cp:coreProperties>
</file>